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392" w:type="dxa"/>
        <w:tblLayout w:type="fixed"/>
        <w:tblLook w:val="04A0"/>
      </w:tblPr>
      <w:tblGrid>
        <w:gridCol w:w="1417"/>
        <w:gridCol w:w="2161"/>
        <w:gridCol w:w="3119"/>
        <w:gridCol w:w="2552"/>
        <w:gridCol w:w="3119"/>
        <w:gridCol w:w="3366"/>
      </w:tblGrid>
      <w:tr w:rsidR="00330628" w:rsidRPr="00803471" w:rsidTr="00937A5D">
        <w:trPr>
          <w:cantSplit/>
          <w:tblHeader/>
        </w:trPr>
        <w:tc>
          <w:tcPr>
            <w:tcW w:w="1417" w:type="dxa"/>
            <w:shd w:val="clear" w:color="auto" w:fill="BFBFBF" w:themeFill="background1" w:themeFillShade="BF"/>
          </w:tcPr>
          <w:p w:rsidR="00330628" w:rsidRPr="00803471" w:rsidRDefault="000B434E" w:rsidP="00803471">
            <w:pPr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FOCUS AREA</w:t>
            </w:r>
          </w:p>
        </w:tc>
        <w:tc>
          <w:tcPr>
            <w:tcW w:w="2161" w:type="dxa"/>
            <w:shd w:val="clear" w:color="auto" w:fill="BFBFBF" w:themeFill="background1" w:themeFillShade="BF"/>
          </w:tcPr>
          <w:p w:rsidR="00330628" w:rsidRDefault="00330628" w:rsidP="00803471">
            <w:pPr>
              <w:spacing w:before="120" w:after="120"/>
              <w:ind w:left="0"/>
              <w:rPr>
                <w:b/>
              </w:rPr>
            </w:pPr>
            <w:r w:rsidRPr="00803471">
              <w:rPr>
                <w:b/>
              </w:rPr>
              <w:t>GRADUATE STANDARD</w:t>
            </w:r>
          </w:p>
          <w:p w:rsidR="00330628" w:rsidRPr="00803471" w:rsidRDefault="00330628" w:rsidP="00330628">
            <w:pPr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(National Professional Standards for Teachers)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330628" w:rsidRDefault="00330628" w:rsidP="00803471">
            <w:pPr>
              <w:spacing w:before="120" w:after="120"/>
              <w:ind w:left="0"/>
              <w:rPr>
                <w:b/>
              </w:rPr>
            </w:pPr>
            <w:r w:rsidRPr="00803471">
              <w:rPr>
                <w:b/>
              </w:rPr>
              <w:t xml:space="preserve">ICT </w:t>
            </w:r>
            <w:r>
              <w:rPr>
                <w:b/>
              </w:rPr>
              <w:t>ELABORATION</w:t>
            </w:r>
          </w:p>
          <w:p w:rsidR="00330628" w:rsidRPr="00803471" w:rsidRDefault="00923B06" w:rsidP="00923B06">
            <w:pPr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(D</w:t>
            </w:r>
            <w:r w:rsidR="00330628">
              <w:rPr>
                <w:b/>
              </w:rPr>
              <w:t>raft wording)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30628" w:rsidRDefault="00923B06" w:rsidP="00803471">
            <w:pPr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COMMENTS</w:t>
            </w:r>
          </w:p>
          <w:p w:rsidR="005717D0" w:rsidRPr="00803471" w:rsidRDefault="005717D0" w:rsidP="00803471">
            <w:pPr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(Group comments)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923B06" w:rsidRDefault="00923B06" w:rsidP="00923B06">
            <w:pPr>
              <w:spacing w:before="120" w:after="120"/>
              <w:ind w:left="0"/>
              <w:rPr>
                <w:b/>
              </w:rPr>
            </w:pPr>
            <w:r w:rsidRPr="00803471">
              <w:rPr>
                <w:b/>
              </w:rPr>
              <w:t xml:space="preserve">ICT </w:t>
            </w:r>
            <w:r>
              <w:rPr>
                <w:b/>
              </w:rPr>
              <w:t>ELABORATION</w:t>
            </w:r>
          </w:p>
          <w:p w:rsidR="00330628" w:rsidRPr="00803471" w:rsidRDefault="00923B06" w:rsidP="00923B06">
            <w:pPr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(Revised wording)</w:t>
            </w:r>
          </w:p>
        </w:tc>
        <w:tc>
          <w:tcPr>
            <w:tcW w:w="3366" w:type="dxa"/>
            <w:shd w:val="clear" w:color="auto" w:fill="BFBFBF" w:themeFill="background1" w:themeFillShade="BF"/>
          </w:tcPr>
          <w:p w:rsidR="00330628" w:rsidRDefault="00923B06" w:rsidP="00803471">
            <w:pPr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EXEMPLIFICATIONS</w:t>
            </w:r>
          </w:p>
          <w:p w:rsidR="00923B06" w:rsidRPr="00803471" w:rsidRDefault="00923B06" w:rsidP="00803471">
            <w:pPr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(Descriptions or links for resources that exemplify the elaboration)</w:t>
            </w:r>
          </w:p>
        </w:tc>
      </w:tr>
      <w:tr w:rsidR="00330628" w:rsidRPr="008060AA" w:rsidTr="00937A5D">
        <w:trPr>
          <w:cantSplit/>
        </w:trPr>
        <w:tc>
          <w:tcPr>
            <w:tcW w:w="1417" w:type="dxa"/>
            <w:shd w:val="clear" w:color="auto" w:fill="F2F2F2" w:themeFill="background1" w:themeFillShade="F2"/>
          </w:tcPr>
          <w:p w:rsidR="00330628" w:rsidRPr="008060AA" w:rsidRDefault="000B434E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STANDARD 1</w:t>
            </w:r>
          </w:p>
        </w:tc>
        <w:tc>
          <w:tcPr>
            <w:tcW w:w="2161" w:type="dxa"/>
            <w:shd w:val="clear" w:color="auto" w:fill="F2F2F2" w:themeFill="background1" w:themeFillShade="F2"/>
          </w:tcPr>
          <w:p w:rsidR="00330628" w:rsidRPr="008060AA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  <w:r w:rsidRPr="008060AA">
              <w:rPr>
                <w:b/>
              </w:rPr>
              <w:t>Know students and how they learn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060AA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330628" w:rsidRPr="008060AA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060AA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366" w:type="dxa"/>
            <w:shd w:val="clear" w:color="auto" w:fill="F2F2F2" w:themeFill="background1" w:themeFillShade="F2"/>
          </w:tcPr>
          <w:p w:rsidR="00330628" w:rsidRPr="008060AA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1.1</w:t>
            </w:r>
          </w:p>
          <w:p w:rsidR="00937A5D" w:rsidRDefault="00937A5D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P</w:t>
            </w:r>
            <w:r w:rsidRPr="00050B2A">
              <w:rPr>
                <w:rFonts w:cs="Arial"/>
                <w:sz w:val="18"/>
                <w:szCs w:val="18"/>
              </w:rPr>
              <w:t xml:space="preserve">hysical, social and intellectual </w:t>
            </w:r>
            <w:r>
              <w:rPr>
                <w:rFonts w:cs="Arial"/>
                <w:sz w:val="18"/>
                <w:szCs w:val="18"/>
              </w:rPr>
              <w:t xml:space="preserve">development and characteristics </w:t>
            </w:r>
            <w:r w:rsidRPr="00050B2A">
              <w:rPr>
                <w:rFonts w:cs="Arial"/>
                <w:sz w:val="18"/>
                <w:szCs w:val="18"/>
              </w:rPr>
              <w:t>of students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knowledge and understanding of physical, social and intellectual development and characteristics of students and how these may affect learning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1.2</w:t>
            </w:r>
          </w:p>
          <w:p w:rsidR="00937A5D" w:rsidRDefault="00937A5D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Understand how students learn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knowledge and understanding of research into how students learn and the implications for teaching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3F5EE3">
            <w:pPr>
              <w:spacing w:before="120" w:after="120"/>
              <w:ind w:left="0"/>
            </w:pPr>
            <w:r>
              <w:t>The graduate demonstrates knowledge and understanding of the range of existing and emerging digital resources and tools that can be applied to meet student learning needs.</w:t>
            </w:r>
          </w:p>
        </w:tc>
        <w:tc>
          <w:tcPr>
            <w:tcW w:w="2552" w:type="dxa"/>
          </w:tcPr>
          <w:p w:rsidR="00330628" w:rsidRDefault="00330628" w:rsidP="003F5EE3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3F5EE3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3F5EE3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1.3</w:t>
            </w:r>
          </w:p>
          <w:p w:rsidR="00937A5D" w:rsidRDefault="00937A5D" w:rsidP="00803471">
            <w:pPr>
              <w:spacing w:before="120" w:after="120"/>
              <w:ind w:left="0"/>
            </w:pPr>
            <w:r w:rsidRPr="009C06B5">
              <w:rPr>
                <w:rFonts w:cs="Arial"/>
                <w:sz w:val="18"/>
                <w:szCs w:val="18"/>
              </w:rPr>
              <w:t>Students with diverse linguistic, cultural</w:t>
            </w:r>
            <w:r>
              <w:rPr>
                <w:rFonts w:cs="Arial"/>
                <w:sz w:val="18"/>
                <w:szCs w:val="18"/>
              </w:rPr>
              <w:t>,</w:t>
            </w:r>
            <w:r w:rsidRPr="009C06B5">
              <w:rPr>
                <w:rFonts w:cs="Arial"/>
                <w:sz w:val="18"/>
                <w:szCs w:val="18"/>
              </w:rPr>
              <w:t xml:space="preserve"> religious</w:t>
            </w:r>
            <w:r>
              <w:rPr>
                <w:rFonts w:cs="Arial"/>
                <w:sz w:val="18"/>
                <w:szCs w:val="18"/>
              </w:rPr>
              <w:t xml:space="preserve"> and socioeconomic </w:t>
            </w:r>
            <w:r w:rsidRPr="009C06B5">
              <w:rPr>
                <w:rFonts w:cs="Arial"/>
                <w:sz w:val="18"/>
                <w:szCs w:val="18"/>
              </w:rPr>
              <w:t>backgrounds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knowledge of teaching strategies that are responsive to the learning strengths and needs of students from diverse linguistic, cultural, religious and socioeconomic backgrounds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demonstrates knowledge and understanding of teaching strategies that use digital resources and tools to address students’ diverse backgrounds and learning styles.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1.4</w:t>
            </w:r>
          </w:p>
          <w:p w:rsidR="00937A5D" w:rsidRDefault="00937A5D" w:rsidP="00937A5D">
            <w:pPr>
              <w:tabs>
                <w:tab w:val="left" w:pos="567"/>
              </w:tabs>
              <w:spacing w:before="120" w:after="120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Strategies for teaching Aboriginal and Torres Strait Islander students</w:t>
            </w:r>
          </w:p>
          <w:p w:rsidR="00937A5D" w:rsidRDefault="00937A5D" w:rsidP="00803471">
            <w:pPr>
              <w:spacing w:before="120" w:after="120"/>
              <w:ind w:left="0"/>
            </w:pP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broad knowledge and understanding of the impact of culture, cultural identity and linguistic background on the education of students from Aboriginal and Torres Strait Islander backgrounds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EE33AF">
            <w:pPr>
              <w:spacing w:before="120" w:after="120"/>
              <w:ind w:left="0"/>
            </w:pPr>
            <w:r w:rsidRPr="000D526D">
              <w:t xml:space="preserve">The graduate demonstrates broad knowledge about appropriate digital resources </w:t>
            </w:r>
            <w:r>
              <w:t>that support</w:t>
            </w:r>
            <w:r w:rsidRPr="000D526D">
              <w:t xml:space="preserve"> students from Aboriginal and Torres Strait Islander backgrounds to develop their knowledge and understandings about their culture, their cultural identity and linguistic background</w:t>
            </w:r>
            <w:r>
              <w:t>.</w:t>
            </w:r>
          </w:p>
        </w:tc>
        <w:tc>
          <w:tcPr>
            <w:tcW w:w="2552" w:type="dxa"/>
          </w:tcPr>
          <w:p w:rsidR="00330628" w:rsidRPr="000D526D" w:rsidRDefault="00330628" w:rsidP="00EE33AF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Pr="000D526D" w:rsidRDefault="00330628" w:rsidP="00EE33AF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Pr="000D526D" w:rsidRDefault="00330628" w:rsidP="00EE33AF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1.5</w:t>
            </w:r>
          </w:p>
          <w:p w:rsidR="00937A5D" w:rsidRDefault="00937A5D" w:rsidP="00803471">
            <w:pPr>
              <w:spacing w:before="120" w:after="120"/>
              <w:ind w:left="0"/>
            </w:pPr>
            <w:r w:rsidRPr="009C06B5">
              <w:rPr>
                <w:rFonts w:cs="Arial"/>
                <w:sz w:val="18"/>
                <w:szCs w:val="18"/>
              </w:rPr>
              <w:t>Differentia</w:t>
            </w:r>
            <w:r>
              <w:rPr>
                <w:rFonts w:cs="Arial"/>
                <w:sz w:val="18"/>
                <w:szCs w:val="18"/>
              </w:rPr>
              <w:t xml:space="preserve">te </w:t>
            </w:r>
            <w:r w:rsidRPr="009C06B5">
              <w:rPr>
                <w:rFonts w:cs="Arial"/>
                <w:sz w:val="18"/>
                <w:szCs w:val="18"/>
              </w:rPr>
              <w:t xml:space="preserve">teaching to meet the specific learning needs of students </w:t>
            </w:r>
            <w:r>
              <w:rPr>
                <w:rFonts w:cs="Arial"/>
                <w:sz w:val="18"/>
                <w:szCs w:val="18"/>
              </w:rPr>
              <w:t>across the full range of abilities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knowledge and understanding of strategies for differentiating teaching to meet the specific learning needs of students across the full range of abilities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74E0D">
            <w:pPr>
              <w:spacing w:before="120" w:after="120"/>
              <w:ind w:left="0"/>
            </w:pPr>
            <w:r w:rsidRPr="000D526D">
              <w:t>The graduate demonstrates knowledge and understanding of personalised teaching strategies about specific digital resources and tools to meet students’ individual and diverse abilities.</w:t>
            </w:r>
          </w:p>
        </w:tc>
        <w:tc>
          <w:tcPr>
            <w:tcW w:w="2552" w:type="dxa"/>
          </w:tcPr>
          <w:p w:rsidR="00330628" w:rsidRPr="000D526D" w:rsidRDefault="00330628" w:rsidP="00874E0D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Pr="000D526D" w:rsidRDefault="00330628" w:rsidP="00874E0D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Pr="000D526D" w:rsidRDefault="00330628" w:rsidP="00874E0D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1.6</w:t>
            </w:r>
          </w:p>
          <w:p w:rsidR="00937A5D" w:rsidRDefault="00937A5D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Strategies to support full participation of students with disability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 xml:space="preserve">Demonstrate broad knowledge and understanding of legislative requirements and teaching strategies that </w:t>
            </w:r>
            <w:bookmarkStart w:id="0" w:name="OLE_LINK1"/>
            <w:bookmarkStart w:id="1" w:name="OLE_LINK2"/>
            <w:r>
              <w:t>support participation and learning of students with disability</w:t>
            </w:r>
            <w:bookmarkEnd w:id="0"/>
            <w:bookmarkEnd w:id="1"/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74E0D">
            <w:pPr>
              <w:spacing w:before="120" w:after="120"/>
              <w:ind w:left="0"/>
            </w:pPr>
            <w:r>
              <w:t>The graduate demonstrates knowledge and understanding of a range of digital resources and tools that can support participation and learning of students with disability.</w:t>
            </w:r>
          </w:p>
        </w:tc>
        <w:tc>
          <w:tcPr>
            <w:tcW w:w="2552" w:type="dxa"/>
          </w:tcPr>
          <w:p w:rsidR="00330628" w:rsidRDefault="00330628" w:rsidP="00874E0D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74E0D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74E0D">
            <w:pPr>
              <w:spacing w:before="120" w:after="120"/>
              <w:ind w:left="0"/>
            </w:pPr>
          </w:p>
        </w:tc>
      </w:tr>
      <w:tr w:rsidR="00330628" w:rsidRPr="00821010" w:rsidTr="00937A5D">
        <w:trPr>
          <w:cantSplit/>
        </w:trPr>
        <w:tc>
          <w:tcPr>
            <w:tcW w:w="1417" w:type="dxa"/>
            <w:shd w:val="clear" w:color="auto" w:fill="F2F2F2" w:themeFill="background1" w:themeFillShade="F2"/>
          </w:tcPr>
          <w:p w:rsidR="00330628" w:rsidRPr="00821010" w:rsidRDefault="000B434E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lastRenderedPageBreak/>
              <w:t xml:space="preserve">STANDARD </w:t>
            </w:r>
            <w:r w:rsidR="00330628" w:rsidRPr="00821010">
              <w:rPr>
                <w:b/>
              </w:rPr>
              <w:t>2</w:t>
            </w:r>
          </w:p>
        </w:tc>
        <w:tc>
          <w:tcPr>
            <w:tcW w:w="2161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Know the content and how to teach it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366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2.1</w:t>
            </w:r>
          </w:p>
          <w:p w:rsidR="00937A5D" w:rsidRDefault="00937A5D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Content and teaching strategies of the teaching area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knowledge and understanding of the concepts, substance and structure of the content and teaching strategies of the teaching area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71537">
            <w:pPr>
              <w:spacing w:before="120" w:after="120"/>
              <w:ind w:left="0"/>
            </w:pPr>
          </w:p>
        </w:tc>
        <w:tc>
          <w:tcPr>
            <w:tcW w:w="2552" w:type="dxa"/>
          </w:tcPr>
          <w:p w:rsidR="00330628" w:rsidRDefault="00330628" w:rsidP="00871537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71537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71537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2.2</w:t>
            </w:r>
          </w:p>
          <w:p w:rsidR="00937A5D" w:rsidRDefault="00937A5D" w:rsidP="00803471">
            <w:pPr>
              <w:spacing w:before="120" w:after="120"/>
              <w:ind w:left="0"/>
            </w:pPr>
            <w:r>
              <w:rPr>
                <w:rFonts w:cs="Arial"/>
                <w:color w:val="000000"/>
                <w:sz w:val="18"/>
                <w:szCs w:val="18"/>
              </w:rPr>
              <w:t>C</w:t>
            </w:r>
            <w:r w:rsidRPr="00C83DC1">
              <w:rPr>
                <w:rFonts w:cs="Arial"/>
                <w:color w:val="000000"/>
                <w:sz w:val="18"/>
                <w:szCs w:val="18"/>
              </w:rPr>
              <w:t xml:space="preserve">ontent </w:t>
            </w:r>
            <w:r>
              <w:rPr>
                <w:rFonts w:cs="Arial"/>
                <w:color w:val="000000"/>
                <w:sz w:val="18"/>
                <w:szCs w:val="18"/>
              </w:rPr>
              <w:t>selection and organisation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Organise content into an effective learning and teaching sequence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demonstrates fluency in technology systems for the selection and organisation of digital content.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2.3</w:t>
            </w:r>
          </w:p>
          <w:p w:rsidR="00937A5D" w:rsidRDefault="00937A5D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Curriculum, assessment and reporting</w:t>
            </w:r>
          </w:p>
        </w:tc>
        <w:tc>
          <w:tcPr>
            <w:tcW w:w="2161" w:type="dxa"/>
          </w:tcPr>
          <w:p w:rsidR="00330628" w:rsidRDefault="00330628" w:rsidP="00FE5B3C">
            <w:pPr>
              <w:spacing w:before="120" w:after="120"/>
              <w:ind w:left="0"/>
            </w:pPr>
            <w:r>
              <w:t>Use curriculum, assessment and reporting knowledge to design learning sequences and lesson plans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4B06DC">
            <w:pPr>
              <w:spacing w:before="120" w:after="120"/>
              <w:ind w:left="0"/>
            </w:pPr>
            <w:r>
              <w:t>The graduate demonstrates fluency in technology systems for designing learning sequences and lesson plans that include assessment items.</w:t>
            </w:r>
          </w:p>
        </w:tc>
        <w:tc>
          <w:tcPr>
            <w:tcW w:w="2552" w:type="dxa"/>
          </w:tcPr>
          <w:p w:rsidR="00330628" w:rsidRDefault="00330628" w:rsidP="004B06DC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4B06DC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4B06DC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2.4</w:t>
            </w:r>
          </w:p>
          <w:p w:rsidR="00937A5D" w:rsidRDefault="00937A5D" w:rsidP="00803471">
            <w:pPr>
              <w:spacing w:before="120" w:after="120"/>
              <w:ind w:left="0"/>
            </w:pPr>
            <w:r>
              <w:rPr>
                <w:rFonts w:cs="Arial"/>
                <w:color w:val="000000"/>
                <w:sz w:val="18"/>
                <w:szCs w:val="18"/>
              </w:rPr>
              <w:t>Understand and respect Aboriginal and Torres Strait Islander people to promote reconciliation between Indigenous and non-Indigenous Australians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broad knowledge of, understanding of and respect for Aboriginal and Torres Strait Islander histories, cultures and languages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2.5</w:t>
            </w:r>
          </w:p>
          <w:p w:rsidR="00937A5D" w:rsidRPr="00AF6D98" w:rsidRDefault="00AF6D98" w:rsidP="00AF6D98">
            <w:pPr>
              <w:tabs>
                <w:tab w:val="left" w:pos="567"/>
              </w:tabs>
              <w:spacing w:before="120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Literacy </w:t>
            </w:r>
            <w:r w:rsidR="00937A5D">
              <w:rPr>
                <w:rFonts w:cs="Arial"/>
                <w:sz w:val="18"/>
                <w:szCs w:val="18"/>
              </w:rPr>
              <w:t>and numeracy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937A5D">
              <w:rPr>
                <w:rFonts w:cs="Arial"/>
                <w:sz w:val="18"/>
                <w:szCs w:val="18"/>
              </w:rPr>
              <w:t>strategies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Know and understand literacy and numeracy teaching strategies and their application in teaching areas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EE33AF">
            <w:pPr>
              <w:spacing w:before="120" w:after="120"/>
              <w:ind w:left="0"/>
            </w:pPr>
            <w:r w:rsidRPr="000D526D">
              <w:t>The graduate demonstrates knowledge and understanding of literacy and numeracy teaching strategies that use digital resources and tools.</w:t>
            </w:r>
          </w:p>
        </w:tc>
        <w:tc>
          <w:tcPr>
            <w:tcW w:w="2552" w:type="dxa"/>
          </w:tcPr>
          <w:p w:rsidR="00330628" w:rsidRPr="000D526D" w:rsidRDefault="00330628" w:rsidP="00EE33AF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Pr="000D526D" w:rsidRDefault="00330628" w:rsidP="00EE33AF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Pr="000D526D" w:rsidRDefault="00330628" w:rsidP="00EE33AF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2.6</w:t>
            </w:r>
          </w:p>
          <w:p w:rsidR="00AF6D98" w:rsidRDefault="00AF6D98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Information and Communication Technology (ICT)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Implement teaching strategies for using ICT to expand curriculum learning opportunities for students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demonstrates:</w:t>
            </w:r>
          </w:p>
          <w:p w:rsidR="00330628" w:rsidRDefault="00330628" w:rsidP="00430A66">
            <w:pPr>
              <w:pStyle w:val="ListParagraph"/>
              <w:numPr>
                <w:ilvl w:val="0"/>
                <w:numId w:val="7"/>
              </w:numPr>
              <w:spacing w:before="120" w:after="120"/>
            </w:pPr>
            <w:r>
              <w:t>Fluency in technology systems, and the transfer of current knowledge to new technologies and situations</w:t>
            </w:r>
          </w:p>
          <w:p w:rsidR="00330628" w:rsidRDefault="00330628" w:rsidP="00430A66">
            <w:pPr>
              <w:pStyle w:val="ListParagraph"/>
              <w:numPr>
                <w:ilvl w:val="0"/>
                <w:numId w:val="7"/>
              </w:numPr>
              <w:spacing w:before="120" w:after="120"/>
            </w:pPr>
            <w:r>
              <w:t>Knowledge and understanding of a range of curriculum-specific  digital resources and tools and how to apply these in a variety of problem-based and project-based situations</w:t>
            </w:r>
          </w:p>
          <w:p w:rsidR="00330628" w:rsidRDefault="00330628" w:rsidP="00430A66">
            <w:pPr>
              <w:pStyle w:val="ListParagraph"/>
              <w:numPr>
                <w:ilvl w:val="0"/>
                <w:numId w:val="7"/>
              </w:numPr>
              <w:spacing w:before="120" w:after="120"/>
            </w:pPr>
            <w:r>
              <w:t>Capacity to use network resources to help students collaborate, access information, and communicate with external experts to analyse and sole their selected problems</w:t>
            </w:r>
          </w:p>
          <w:p w:rsidR="00330628" w:rsidRDefault="00330628" w:rsidP="00807C62">
            <w:pPr>
              <w:pStyle w:val="ListParagraph"/>
              <w:numPr>
                <w:ilvl w:val="0"/>
                <w:numId w:val="7"/>
              </w:numPr>
              <w:spacing w:before="120" w:after="120"/>
            </w:pPr>
            <w:r>
              <w:t>Capacity to use digital resources and tools to create and monitor individual and group student project plans.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RPr="00821010" w:rsidTr="00937A5D">
        <w:trPr>
          <w:cantSplit/>
        </w:trPr>
        <w:tc>
          <w:tcPr>
            <w:tcW w:w="1417" w:type="dxa"/>
            <w:shd w:val="clear" w:color="auto" w:fill="F2F2F2" w:themeFill="background1" w:themeFillShade="F2"/>
          </w:tcPr>
          <w:p w:rsidR="00330628" w:rsidRPr="00821010" w:rsidRDefault="000B434E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lastRenderedPageBreak/>
              <w:t xml:space="preserve">STANDARD </w:t>
            </w:r>
            <w:r w:rsidR="00330628" w:rsidRPr="00821010">
              <w:rPr>
                <w:b/>
              </w:rPr>
              <w:t>3</w:t>
            </w:r>
          </w:p>
        </w:tc>
        <w:tc>
          <w:tcPr>
            <w:tcW w:w="2161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Plan for and implement effective teaching and learning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366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3.1</w:t>
            </w:r>
          </w:p>
          <w:p w:rsidR="00AF6D98" w:rsidRDefault="00AF6D98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Establish challenging learning goals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Set learning goals that provide achievable challenges for students of varying abilities and characteristics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demonstrates knowledge and understanding of how to develop technology-enriched environments that enable all students to pursue their individual curiosities and become active participants  in setting their own educational goals, managing their own learning, and assessing their own progress.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3.2</w:t>
            </w:r>
          </w:p>
          <w:p w:rsidR="00AF6D98" w:rsidRDefault="00AF6D98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Plan, structure and sequence learning programs</w:t>
            </w:r>
          </w:p>
        </w:tc>
        <w:tc>
          <w:tcPr>
            <w:tcW w:w="2161" w:type="dxa"/>
          </w:tcPr>
          <w:p w:rsidR="00330628" w:rsidRDefault="00330628" w:rsidP="00050F08">
            <w:pPr>
              <w:spacing w:before="120" w:after="120"/>
              <w:ind w:left="0"/>
            </w:pPr>
            <w:r>
              <w:t>Plan lesson sequences using knowledge of student learning, content and effective teaching strategies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 w:rsidRPr="000D526D">
              <w:t>The graduate designs or adapts relevant learning experiences and lesson plan sequences that incorporate digital resources and tools to promote effective student learning and creativity.</w:t>
            </w:r>
          </w:p>
        </w:tc>
        <w:tc>
          <w:tcPr>
            <w:tcW w:w="2552" w:type="dxa"/>
          </w:tcPr>
          <w:p w:rsidR="00330628" w:rsidRPr="000D526D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Pr="000D526D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Pr="000D526D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3.3</w:t>
            </w:r>
          </w:p>
          <w:p w:rsidR="00AF6D98" w:rsidRDefault="00AF6D98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Use teaching strategies</w:t>
            </w:r>
          </w:p>
        </w:tc>
        <w:tc>
          <w:tcPr>
            <w:tcW w:w="2161" w:type="dxa"/>
          </w:tcPr>
          <w:p w:rsidR="00330628" w:rsidRDefault="00330628" w:rsidP="00EA262F">
            <w:pPr>
              <w:spacing w:before="120" w:after="120"/>
              <w:ind w:left="0"/>
            </w:pPr>
            <w:r>
              <w:t>Include a range of teaching strategies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demonstrates knowledge and understanding of teaching strategies that use digital resources and tools to facilitate experiences that advance student learning, creativity and innovation. The graduate understands strategies that:</w:t>
            </w:r>
          </w:p>
          <w:p w:rsidR="00330628" w:rsidRDefault="00330628" w:rsidP="001A3674">
            <w:pPr>
              <w:pStyle w:val="ListParagraph"/>
              <w:numPr>
                <w:ilvl w:val="0"/>
                <w:numId w:val="3"/>
              </w:numPr>
              <w:spacing w:before="120" w:after="120"/>
            </w:pPr>
            <w:r>
              <w:t>Promote creative and innovative thinking and inventiveness</w:t>
            </w:r>
          </w:p>
          <w:p w:rsidR="00330628" w:rsidRDefault="00330628" w:rsidP="001A3674">
            <w:pPr>
              <w:pStyle w:val="ListParagraph"/>
              <w:numPr>
                <w:ilvl w:val="0"/>
                <w:numId w:val="3"/>
              </w:numPr>
              <w:spacing w:before="120" w:after="120"/>
            </w:pPr>
            <w:r>
              <w:t>Engage students in exploring real world issues and solving authentic problems using digital tools and resources</w:t>
            </w:r>
          </w:p>
          <w:p w:rsidR="00330628" w:rsidRDefault="00330628" w:rsidP="001A3674">
            <w:pPr>
              <w:pStyle w:val="ListParagraph"/>
              <w:numPr>
                <w:ilvl w:val="0"/>
                <w:numId w:val="3"/>
              </w:numPr>
              <w:spacing w:before="120" w:after="120"/>
            </w:pPr>
            <w:r>
              <w:t>Promote student reflection using collaborative tools to reveal and clarify students’ conceptual understanding and thinking, planning and creative processes</w:t>
            </w:r>
          </w:p>
          <w:p w:rsidR="00330628" w:rsidRDefault="00330628" w:rsidP="001A3674">
            <w:pPr>
              <w:pStyle w:val="ListParagraph"/>
              <w:numPr>
                <w:ilvl w:val="0"/>
                <w:numId w:val="3"/>
              </w:numPr>
              <w:spacing w:before="120" w:after="120"/>
            </w:pPr>
            <w:r>
              <w:t>Promote collaborative knowledge construction.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3.4</w:t>
            </w:r>
          </w:p>
          <w:p w:rsidR="00AF6D98" w:rsidRDefault="00AF6D98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Select and use resources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knowledge of a range of resources, including ICT, that engage students in their learning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demonstrates knowledge of the use of current and emerging digital tools to locate, analyse, evaluate and use information resources to support research and learning.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3.5</w:t>
            </w:r>
          </w:p>
          <w:p w:rsidR="00AF6D98" w:rsidRDefault="00AF6D98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Use effective classroom communication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a range of verbal and non-verbal communication strategies to support student engagement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 w:rsidRPr="000D526D">
              <w:t>The graduate demonstrates strategies to communicate relevant information and ideas effectively to support students’ engagement using a variety of digital-age media and formats.</w:t>
            </w:r>
          </w:p>
        </w:tc>
        <w:tc>
          <w:tcPr>
            <w:tcW w:w="2552" w:type="dxa"/>
          </w:tcPr>
          <w:p w:rsidR="00330628" w:rsidRPr="000D526D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Pr="000D526D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Pr="000D526D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3.6</w:t>
            </w:r>
          </w:p>
          <w:p w:rsidR="00AF6D98" w:rsidRDefault="00AF6D98" w:rsidP="00803471">
            <w:pPr>
              <w:spacing w:before="120" w:after="120"/>
              <w:ind w:left="0"/>
            </w:pPr>
            <w:r w:rsidRPr="00D7143A">
              <w:rPr>
                <w:rFonts w:cs="Arial"/>
                <w:sz w:val="18"/>
                <w:szCs w:val="18"/>
              </w:rPr>
              <w:t>Evaluat</w:t>
            </w:r>
            <w:r>
              <w:rPr>
                <w:rFonts w:cs="Arial"/>
                <w:sz w:val="18"/>
                <w:szCs w:val="18"/>
              </w:rPr>
              <w:t>e</w:t>
            </w:r>
            <w:r w:rsidRPr="00D7143A">
              <w:rPr>
                <w:rFonts w:cs="Arial"/>
                <w:sz w:val="18"/>
                <w:szCs w:val="18"/>
              </w:rPr>
              <w:t xml:space="preserve"> and improv</w:t>
            </w:r>
            <w:r>
              <w:rPr>
                <w:rFonts w:cs="Arial"/>
                <w:sz w:val="18"/>
                <w:szCs w:val="18"/>
              </w:rPr>
              <w:t>e</w:t>
            </w:r>
            <w:r w:rsidRPr="00D7143A">
              <w:rPr>
                <w:rFonts w:cs="Arial"/>
                <w:sz w:val="18"/>
                <w:szCs w:val="18"/>
              </w:rPr>
              <w:t xml:space="preserve"> teaching </w:t>
            </w:r>
            <w:r>
              <w:rPr>
                <w:rFonts w:cs="Arial"/>
                <w:sz w:val="18"/>
                <w:szCs w:val="18"/>
              </w:rPr>
              <w:t>programs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broad knowledge of strategies that can be used to evaluate teaching programs to improve student learning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3.7</w:t>
            </w:r>
          </w:p>
          <w:p w:rsidR="00083242" w:rsidRDefault="00083242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Engage parents/carers in the educative process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Describe a broad range of strategies for involving parents/carers in the educative process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describes how digital resources and tools can be used to collaborate with parents/carers to support student success and innovation.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RPr="00821010" w:rsidTr="00937A5D">
        <w:trPr>
          <w:cantSplit/>
        </w:trPr>
        <w:tc>
          <w:tcPr>
            <w:tcW w:w="1417" w:type="dxa"/>
            <w:shd w:val="clear" w:color="auto" w:fill="F2F2F2" w:themeFill="background1" w:themeFillShade="F2"/>
          </w:tcPr>
          <w:p w:rsidR="00330628" w:rsidRPr="00821010" w:rsidRDefault="000B434E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 xml:space="preserve">STANDARD </w:t>
            </w:r>
            <w:r w:rsidR="00330628" w:rsidRPr="00821010">
              <w:rPr>
                <w:b/>
              </w:rPr>
              <w:t>4</w:t>
            </w:r>
          </w:p>
        </w:tc>
        <w:tc>
          <w:tcPr>
            <w:tcW w:w="2161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Create and maintain supportive and safe learning environments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366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4.1</w:t>
            </w:r>
          </w:p>
          <w:p w:rsidR="00083242" w:rsidRDefault="00083242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Support student participation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Identify strategies to support inclusive student participation and engagement in classroom activities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identifies strategies that address the diverse needs of all learners by using learner-centred approaches and providing equitable access to appropriate digital resources and tools.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4.2</w:t>
            </w:r>
          </w:p>
          <w:p w:rsidR="00083242" w:rsidRDefault="00083242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Manage classroom activities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the capacity to organise classroom activities and provide clear directions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4.3</w:t>
            </w:r>
          </w:p>
          <w:p w:rsidR="00083242" w:rsidRDefault="00083242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Manage challenging behaviour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knowledge of practical approaches to manage challenging behaviour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demonstrates knowledge of digital etiquette and responsible social interactions related to the use of digital resources and tools.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4.4</w:t>
            </w:r>
          </w:p>
          <w:p w:rsidR="00083242" w:rsidRDefault="00083242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Maintain student safety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Describe strategies that support students’ well-being and safety working within school and/or system, curriculum and legislative requirements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demonstrates an understanding of practices and tools to support the online safety of students.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4.5</w:t>
            </w:r>
          </w:p>
          <w:p w:rsidR="00083242" w:rsidRDefault="00083242" w:rsidP="00803471">
            <w:pPr>
              <w:spacing w:before="120" w:after="120"/>
              <w:ind w:left="0"/>
            </w:pPr>
            <w:r w:rsidRPr="00280656">
              <w:rPr>
                <w:rFonts w:cs="Arial"/>
                <w:sz w:val="18"/>
                <w:szCs w:val="18"/>
              </w:rPr>
              <w:t>Us</w:t>
            </w:r>
            <w:r>
              <w:rPr>
                <w:rFonts w:cs="Arial"/>
                <w:sz w:val="18"/>
                <w:szCs w:val="18"/>
              </w:rPr>
              <w:t>e</w:t>
            </w:r>
            <w:r w:rsidRPr="00280656">
              <w:rPr>
                <w:rFonts w:cs="Arial"/>
                <w:sz w:val="18"/>
                <w:szCs w:val="18"/>
              </w:rPr>
              <w:t xml:space="preserve"> ICT safely, responsibly and ethically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an understanding of the relevant issues and the strategies available to support the safe, responsible and ethical use of ICT in learning and teaching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demonstrates an understanding of safe, legal, and ethical use of digital information and technology, including respect for copyright, intellectual property, and the appropriate documentation of sources.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RPr="00821010" w:rsidTr="00937A5D">
        <w:trPr>
          <w:cantSplit/>
        </w:trPr>
        <w:tc>
          <w:tcPr>
            <w:tcW w:w="1417" w:type="dxa"/>
            <w:shd w:val="clear" w:color="auto" w:fill="F2F2F2" w:themeFill="background1" w:themeFillShade="F2"/>
          </w:tcPr>
          <w:p w:rsidR="00330628" w:rsidRPr="00821010" w:rsidRDefault="000B434E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lastRenderedPageBreak/>
              <w:t xml:space="preserve">STANDARD </w:t>
            </w:r>
            <w:r w:rsidR="00330628" w:rsidRPr="00821010">
              <w:rPr>
                <w:b/>
              </w:rPr>
              <w:t>5</w:t>
            </w:r>
          </w:p>
        </w:tc>
        <w:tc>
          <w:tcPr>
            <w:tcW w:w="2161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Assess, provide feedback and report on student learning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366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5.1</w:t>
            </w:r>
          </w:p>
          <w:p w:rsidR="00083242" w:rsidRDefault="00083242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Assess student learning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understanding of assessment strategies</w:t>
            </w:r>
            <w:r w:rsidR="00EA262F">
              <w:t>,</w:t>
            </w:r>
            <w:r>
              <w:t xml:space="preserve"> </w:t>
            </w:r>
            <w:r w:rsidR="00EA262F">
              <w:t>including</w:t>
            </w:r>
            <w:r>
              <w:t xml:space="preserve"> informal and formal, diagnostic, formative and summative approaches to assess student learning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B71203">
            <w:pPr>
              <w:spacing w:before="120" w:after="120"/>
              <w:ind w:left="0"/>
            </w:pPr>
            <w:r>
              <w:t>The graduate demonstrates understanding of strategies for using digital resources and tools to provide students with multiple and varied formative and summative assessments.</w:t>
            </w:r>
          </w:p>
        </w:tc>
        <w:tc>
          <w:tcPr>
            <w:tcW w:w="2552" w:type="dxa"/>
          </w:tcPr>
          <w:p w:rsidR="00330628" w:rsidRDefault="00330628" w:rsidP="00B71203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B71203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B71203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5.2</w:t>
            </w:r>
          </w:p>
          <w:p w:rsidR="00083242" w:rsidRDefault="00083242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Provide feedback to students on their learning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an understanding of the purpose of providing timely and appropriate feedback to students about their learning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5.3</w:t>
            </w:r>
          </w:p>
          <w:p w:rsidR="00083242" w:rsidRDefault="00083242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Make consistent and comparable judgements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understanding of assessment moderation and its application to support consistent and comparable judgements of student learning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5.4</w:t>
            </w:r>
          </w:p>
          <w:p w:rsidR="00083242" w:rsidRDefault="00083242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Interpret</w:t>
            </w:r>
            <w:r w:rsidRPr="00F711EA">
              <w:rPr>
                <w:rFonts w:cs="Arial"/>
                <w:sz w:val="18"/>
                <w:szCs w:val="18"/>
              </w:rPr>
              <w:t xml:space="preserve"> student data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the capacity to interpret student assessment data to evaluate student learning and modify teaching practice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59795C">
            <w:pPr>
              <w:spacing w:before="120" w:after="120"/>
              <w:ind w:left="0"/>
            </w:pPr>
            <w:r>
              <w:t>The graduate demonstrates the capacity to use digital tools for recording, managing and analysing student assessment data.</w:t>
            </w:r>
          </w:p>
        </w:tc>
        <w:tc>
          <w:tcPr>
            <w:tcW w:w="2552" w:type="dxa"/>
          </w:tcPr>
          <w:p w:rsidR="00330628" w:rsidRDefault="00330628" w:rsidP="0059795C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59795C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59795C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5.5</w:t>
            </w:r>
          </w:p>
          <w:p w:rsidR="0018213C" w:rsidRDefault="0018213C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Report on student achievement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understanding of a range of strategies for reporting to students and parents/carers and the purpose of keeping accurate and reliable records of student achievement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DF2973">
            <w:pPr>
              <w:spacing w:before="120" w:after="120"/>
              <w:ind w:left="0"/>
            </w:pPr>
            <w:r>
              <w:t>The graduate demonstrates knowledge and understanding of strategies for using digital resources and tools for:</w:t>
            </w:r>
          </w:p>
          <w:p w:rsidR="00330628" w:rsidRDefault="00330628" w:rsidP="001A3674">
            <w:pPr>
              <w:pStyle w:val="ListParagraph"/>
              <w:numPr>
                <w:ilvl w:val="0"/>
                <w:numId w:val="4"/>
              </w:numPr>
              <w:spacing w:before="120" w:after="120"/>
            </w:pPr>
            <w:r>
              <w:t>Reporting to student and parents/carers</w:t>
            </w:r>
          </w:p>
          <w:p w:rsidR="00330628" w:rsidRDefault="00330628" w:rsidP="001A3674">
            <w:pPr>
              <w:pStyle w:val="ListParagraph"/>
              <w:numPr>
                <w:ilvl w:val="0"/>
                <w:numId w:val="4"/>
              </w:numPr>
              <w:spacing w:before="120" w:after="120"/>
            </w:pPr>
            <w:r>
              <w:t>Achievement record keeping.</w:t>
            </w:r>
          </w:p>
        </w:tc>
        <w:tc>
          <w:tcPr>
            <w:tcW w:w="2552" w:type="dxa"/>
          </w:tcPr>
          <w:p w:rsidR="00330628" w:rsidRDefault="00330628" w:rsidP="00DF2973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DF2973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DF2973">
            <w:pPr>
              <w:spacing w:before="120" w:after="120"/>
              <w:ind w:left="0"/>
            </w:pPr>
          </w:p>
        </w:tc>
      </w:tr>
      <w:tr w:rsidR="00330628" w:rsidRPr="00821010" w:rsidTr="00937A5D">
        <w:trPr>
          <w:cantSplit/>
        </w:trPr>
        <w:tc>
          <w:tcPr>
            <w:tcW w:w="1417" w:type="dxa"/>
            <w:shd w:val="clear" w:color="auto" w:fill="F2F2F2" w:themeFill="background1" w:themeFillShade="F2"/>
          </w:tcPr>
          <w:p w:rsidR="00330628" w:rsidRPr="00821010" w:rsidRDefault="000B434E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 xml:space="preserve">STANDARD </w:t>
            </w:r>
            <w:r w:rsidR="00330628" w:rsidRPr="00821010">
              <w:rPr>
                <w:b/>
              </w:rPr>
              <w:t>6</w:t>
            </w:r>
          </w:p>
        </w:tc>
        <w:tc>
          <w:tcPr>
            <w:tcW w:w="2161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Engage in professional learning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366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6.1</w:t>
            </w:r>
          </w:p>
          <w:p w:rsidR="0018213C" w:rsidRDefault="0018213C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Identify and plan professional learning needs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an understanding of the role of the National Professional Standards for Teachers in identifying professional learning needs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AE50AC">
            <w:pPr>
              <w:spacing w:before="120" w:after="120"/>
              <w:ind w:left="0"/>
            </w:pPr>
            <w:r>
              <w:t>The graduate demonstrates an understanding of the ICT Elaborations of the National Professional Standards for Teachers, and understands their own level of development against the elaborations.</w:t>
            </w:r>
          </w:p>
        </w:tc>
        <w:tc>
          <w:tcPr>
            <w:tcW w:w="2552" w:type="dxa"/>
          </w:tcPr>
          <w:p w:rsidR="00330628" w:rsidRDefault="00330628" w:rsidP="00AE50AC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AE50AC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AE50AC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6.2</w:t>
            </w:r>
          </w:p>
          <w:p w:rsidR="0018213C" w:rsidRDefault="0018213C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Engage in professional learning and improve practice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Understand the relevant and appropriate sources of professional learning for teachers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understands how to improve professional practice in the effective use of digital tools and resources. The graduate understands how to:</w:t>
            </w:r>
          </w:p>
          <w:p w:rsidR="00330628" w:rsidRDefault="00330628" w:rsidP="00793944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Participate in local and global learning communities to explore creative applications of technology to improve student learning</w:t>
            </w:r>
          </w:p>
          <w:p w:rsidR="00330628" w:rsidRDefault="00330628" w:rsidP="00793944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Evaluate and reflect on current research and professional practice on a regular basis to make effective use of existing and emerging digital tools and resources.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6.3</w:t>
            </w:r>
          </w:p>
          <w:p w:rsidR="0018213C" w:rsidRDefault="0018213C" w:rsidP="00803471">
            <w:pPr>
              <w:spacing w:before="120" w:after="120"/>
              <w:ind w:left="0"/>
            </w:pPr>
            <w:r w:rsidRPr="005D6208">
              <w:rPr>
                <w:rFonts w:cs="Arial"/>
                <w:sz w:val="18"/>
                <w:szCs w:val="18"/>
              </w:rPr>
              <w:t>Engag</w:t>
            </w:r>
            <w:r>
              <w:rPr>
                <w:rFonts w:cs="Arial"/>
                <w:sz w:val="18"/>
                <w:szCs w:val="18"/>
              </w:rPr>
              <w:t>e</w:t>
            </w:r>
            <w:r w:rsidRPr="005D6208">
              <w:rPr>
                <w:rFonts w:cs="Arial"/>
                <w:sz w:val="18"/>
                <w:szCs w:val="18"/>
              </w:rPr>
              <w:t xml:space="preserve"> with colleagues </w:t>
            </w:r>
            <w:r>
              <w:rPr>
                <w:rFonts w:cs="Arial"/>
                <w:sz w:val="18"/>
                <w:szCs w:val="18"/>
              </w:rPr>
              <w:t>and</w:t>
            </w:r>
            <w:r w:rsidRPr="005D6208">
              <w:rPr>
                <w:rFonts w:cs="Arial"/>
                <w:sz w:val="18"/>
                <w:szCs w:val="18"/>
              </w:rPr>
              <w:t xml:space="preserve"> improve practice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Seek and apply constructive feedback from supervisors and teachers to improve teaching practices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demonstrates a vision of technology infusion  and participates in shared decision making and community building.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6.4</w:t>
            </w:r>
          </w:p>
          <w:p w:rsidR="0018213C" w:rsidRDefault="0018213C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Apply professional learning and improve student learning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Demonstrate an understanding of the rationale for continued professional learning and the implications for improved student learning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 w:rsidRPr="00DA0D2D">
              <w:t xml:space="preserve">The graduate demonstrates an understanding of how to use </w:t>
            </w:r>
            <w:r>
              <w:t>digital resources and tools</w:t>
            </w:r>
            <w:r w:rsidRPr="00DA0D2D">
              <w:t xml:space="preserve"> to assist in continued professional learning</w:t>
            </w:r>
            <w:r>
              <w:t>.</w:t>
            </w:r>
          </w:p>
        </w:tc>
        <w:tc>
          <w:tcPr>
            <w:tcW w:w="2552" w:type="dxa"/>
          </w:tcPr>
          <w:p w:rsidR="00330628" w:rsidRPr="00DA0D2D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Pr="00DA0D2D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Pr="00DA0D2D" w:rsidRDefault="00330628" w:rsidP="00803471">
            <w:pPr>
              <w:spacing w:before="120" w:after="120"/>
              <w:ind w:left="0"/>
            </w:pPr>
          </w:p>
        </w:tc>
      </w:tr>
      <w:tr w:rsidR="00330628" w:rsidRPr="00821010" w:rsidTr="00937A5D">
        <w:trPr>
          <w:cantSplit/>
        </w:trPr>
        <w:tc>
          <w:tcPr>
            <w:tcW w:w="1417" w:type="dxa"/>
            <w:shd w:val="clear" w:color="auto" w:fill="F2F2F2" w:themeFill="background1" w:themeFillShade="F2"/>
          </w:tcPr>
          <w:p w:rsidR="00330628" w:rsidRPr="00821010" w:rsidRDefault="000B434E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 xml:space="preserve">STANDARD </w:t>
            </w:r>
            <w:r w:rsidR="00330628" w:rsidRPr="00821010">
              <w:rPr>
                <w:b/>
              </w:rPr>
              <w:t>7</w:t>
            </w:r>
          </w:p>
        </w:tc>
        <w:tc>
          <w:tcPr>
            <w:tcW w:w="2161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Engage professionally with colleagues, parents/carers and the community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  <w:tc>
          <w:tcPr>
            <w:tcW w:w="3366" w:type="dxa"/>
            <w:shd w:val="clear" w:color="auto" w:fill="F2F2F2" w:themeFill="background1" w:themeFillShade="F2"/>
          </w:tcPr>
          <w:p w:rsidR="00330628" w:rsidRPr="00821010" w:rsidRDefault="00330628" w:rsidP="00807C62">
            <w:pPr>
              <w:keepNext/>
              <w:spacing w:before="120" w:after="120"/>
              <w:ind w:left="0"/>
              <w:rPr>
                <w:b/>
              </w:rPr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7.1</w:t>
            </w:r>
          </w:p>
          <w:p w:rsidR="0018213C" w:rsidRDefault="0018213C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Meet professional ethics and responsibilities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Understand and apply the key principles described in codes of ethics and conduct for the teaching profession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7.2</w:t>
            </w:r>
          </w:p>
          <w:p w:rsidR="0018213C" w:rsidRDefault="0018213C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Comply with legislative, administrative and organisational requirements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Understand the relevant legislative, administrative and organisational policies and processes required for teachers according to school stage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7.3</w:t>
            </w:r>
          </w:p>
          <w:p w:rsidR="0018213C" w:rsidRDefault="0018213C" w:rsidP="00803471">
            <w:pPr>
              <w:spacing w:before="120" w:after="120"/>
              <w:ind w:left="0"/>
            </w:pPr>
            <w:r>
              <w:rPr>
                <w:rFonts w:cs="Arial"/>
                <w:sz w:val="18"/>
                <w:szCs w:val="18"/>
              </w:rPr>
              <w:t>Engage with the parents/carers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Understand strategies for working effectively, sensitively and confidentially with parents/carers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347167">
            <w:pPr>
              <w:spacing w:before="120" w:after="120"/>
              <w:ind w:left="0"/>
            </w:pPr>
            <w:r>
              <w:t>The graduate understands how to use relevant digital resources and tools for communicating effectively, ethically, sensitively and confidentially with parents/carers.</w:t>
            </w:r>
          </w:p>
        </w:tc>
        <w:tc>
          <w:tcPr>
            <w:tcW w:w="2552" w:type="dxa"/>
          </w:tcPr>
          <w:p w:rsidR="00330628" w:rsidRDefault="00330628" w:rsidP="00347167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347167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347167">
            <w:pPr>
              <w:spacing w:before="120" w:after="120"/>
              <w:ind w:left="0"/>
            </w:pPr>
          </w:p>
        </w:tc>
      </w:tr>
      <w:tr w:rsidR="00330628" w:rsidTr="00937A5D">
        <w:trPr>
          <w:cantSplit/>
        </w:trPr>
        <w:tc>
          <w:tcPr>
            <w:tcW w:w="1417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lastRenderedPageBreak/>
              <w:t>7.4</w:t>
            </w:r>
          </w:p>
          <w:p w:rsidR="0018213C" w:rsidRDefault="0018213C" w:rsidP="00803471">
            <w:pPr>
              <w:spacing w:before="120" w:after="120"/>
              <w:ind w:left="0"/>
            </w:pPr>
            <w:r w:rsidRPr="00457C68">
              <w:rPr>
                <w:rFonts w:cs="Calibri"/>
                <w:sz w:val="18"/>
                <w:szCs w:val="18"/>
              </w:rPr>
              <w:t>Engag</w:t>
            </w:r>
            <w:r>
              <w:rPr>
                <w:rFonts w:cs="Calibri"/>
                <w:sz w:val="18"/>
                <w:szCs w:val="18"/>
              </w:rPr>
              <w:t>e</w:t>
            </w:r>
            <w:r w:rsidRPr="00457C68">
              <w:rPr>
                <w:rFonts w:cs="Calibri"/>
                <w:sz w:val="18"/>
                <w:szCs w:val="18"/>
              </w:rPr>
              <w:t xml:space="preserve"> with professional teaching</w:t>
            </w:r>
            <w:r>
              <w:rPr>
                <w:rFonts w:cs="Calibri"/>
                <w:sz w:val="18"/>
                <w:szCs w:val="18"/>
              </w:rPr>
              <w:t xml:space="preserve"> networks and broader communities</w:t>
            </w:r>
          </w:p>
        </w:tc>
        <w:tc>
          <w:tcPr>
            <w:tcW w:w="2161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Understand the role of external professionals and community representatives in broadening teachers’ professional knowledge and practice</w:t>
            </w:r>
            <w:r w:rsidR="006C194E">
              <w:t>.</w:t>
            </w: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  <w:r>
              <w:t>The graduate understands how to use digital resource and tools to:</w:t>
            </w:r>
          </w:p>
          <w:p w:rsidR="00330628" w:rsidRDefault="00330628" w:rsidP="00DF69DC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Connect to external professionals and community representatives</w:t>
            </w:r>
          </w:p>
          <w:p w:rsidR="00330628" w:rsidRDefault="00330628" w:rsidP="00DF69DC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Develop and model cultural understanding and global awareness by engaging with colleagues and students of other cultures</w:t>
            </w:r>
          </w:p>
          <w:p w:rsidR="00330628" w:rsidRDefault="00330628" w:rsidP="00DF69DC">
            <w:pPr>
              <w:pStyle w:val="ListParagraph"/>
              <w:numPr>
                <w:ilvl w:val="0"/>
                <w:numId w:val="6"/>
              </w:numPr>
              <w:spacing w:before="120" w:after="120"/>
            </w:pPr>
            <w:r>
              <w:t>Contribute to professional and community sites.</w:t>
            </w:r>
          </w:p>
        </w:tc>
        <w:tc>
          <w:tcPr>
            <w:tcW w:w="2552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119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  <w:tc>
          <w:tcPr>
            <w:tcW w:w="3366" w:type="dxa"/>
          </w:tcPr>
          <w:p w:rsidR="00330628" w:rsidRDefault="00330628" w:rsidP="00803471">
            <w:pPr>
              <w:spacing w:before="120" w:after="120"/>
              <w:ind w:left="0"/>
            </w:pPr>
          </w:p>
        </w:tc>
      </w:tr>
    </w:tbl>
    <w:p w:rsidR="003801D8" w:rsidRDefault="003801D8" w:rsidP="00D720B1"/>
    <w:sectPr w:rsidR="003801D8" w:rsidSect="005717D0">
      <w:headerReference w:type="default" r:id="rId8"/>
      <w:footerReference w:type="default" r:id="rId9"/>
      <w:pgSz w:w="16838" w:h="11906" w:orient="landscape"/>
      <w:pgMar w:top="284" w:right="284" w:bottom="284" w:left="28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E88" w:rsidRDefault="00864E88" w:rsidP="00D06F50">
      <w:pPr>
        <w:spacing w:after="0"/>
      </w:pPr>
      <w:r>
        <w:separator/>
      </w:r>
    </w:p>
  </w:endnote>
  <w:endnote w:type="continuationSeparator" w:id="0">
    <w:p w:rsidR="00864E88" w:rsidRDefault="00864E88" w:rsidP="00D06F5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242" w:rsidRDefault="00083242" w:rsidP="00937A5D">
    <w:pPr>
      <w:pStyle w:val="Footer"/>
      <w:tabs>
        <w:tab w:val="clear" w:pos="4513"/>
        <w:tab w:val="clear" w:pos="9026"/>
        <w:tab w:val="right" w:pos="9072"/>
      </w:tabs>
      <w:spacing w:line="360" w:lineRule="auto"/>
      <w:ind w:left="0"/>
      <w:rPr>
        <w:b/>
        <w:color w:val="1F497D" w:themeColor="text2"/>
        <w:sz w:val="16"/>
        <w:szCs w:val="16"/>
      </w:rPr>
    </w:pPr>
    <w:r w:rsidRPr="00937A5D">
      <w:rPr>
        <w:b/>
        <w:color w:val="1F497D" w:themeColor="text2"/>
        <w:sz w:val="16"/>
        <w:szCs w:val="16"/>
      </w:rPr>
      <w:t xml:space="preserve">ICT Innovation Fund – Teaching </w:t>
    </w:r>
    <w:r>
      <w:rPr>
        <w:b/>
        <w:color w:val="1F497D" w:themeColor="text2"/>
        <w:sz w:val="16"/>
        <w:szCs w:val="16"/>
      </w:rPr>
      <w:t>Teachers for the Future</w:t>
    </w:r>
  </w:p>
  <w:p w:rsidR="00083242" w:rsidRPr="008D5C02" w:rsidRDefault="00083242" w:rsidP="00937A5D">
    <w:pPr>
      <w:pStyle w:val="Footer"/>
      <w:tabs>
        <w:tab w:val="clear" w:pos="4513"/>
        <w:tab w:val="clear" w:pos="9026"/>
        <w:tab w:val="right" w:pos="9072"/>
      </w:tabs>
      <w:spacing w:line="360" w:lineRule="auto"/>
      <w:ind w:left="0"/>
      <w:rPr>
        <w:b/>
        <w:color w:val="1F497D" w:themeColor="text2"/>
        <w:sz w:val="24"/>
        <w:szCs w:val="24"/>
      </w:rPr>
    </w:pPr>
    <w:r w:rsidRPr="00937A5D">
      <w:rPr>
        <w:b/>
        <w:color w:val="1F497D" w:themeColor="text2"/>
        <w:sz w:val="16"/>
        <w:szCs w:val="16"/>
      </w:rPr>
      <w:t>Working Document Only</w:t>
    </w:r>
    <w:r>
      <w:rPr>
        <w:b/>
        <w:color w:val="1F497D" w:themeColor="text2"/>
        <w:sz w:val="16"/>
        <w:szCs w:val="16"/>
      </w:rPr>
      <w:t xml:space="preserve"> - </w:t>
    </w:r>
    <w:r w:rsidRPr="00937A5D">
      <w:rPr>
        <w:b/>
        <w:color w:val="1F497D" w:themeColor="text2"/>
        <w:sz w:val="16"/>
        <w:szCs w:val="16"/>
      </w:rPr>
      <w:t>Workshop - 25 February 2011, Melbourne</w:t>
    </w:r>
    <w:r w:rsidRPr="00937A5D">
      <w:rPr>
        <w:b/>
        <w:color w:val="1F497D" w:themeColor="text2"/>
        <w:sz w:val="16"/>
        <w:szCs w:val="16"/>
      </w:rPr>
      <w:tab/>
    </w:r>
    <w:r w:rsidRPr="008D5C02">
      <w:rPr>
        <w:b/>
        <w:color w:val="1F497D" w:themeColor="text2"/>
        <w:sz w:val="24"/>
        <w:szCs w:val="24"/>
      </w:rPr>
      <w:tab/>
    </w:r>
    <w:r w:rsidRPr="008D5C02">
      <w:rPr>
        <w:b/>
        <w:color w:val="1F497D" w:themeColor="text2"/>
        <w:sz w:val="24"/>
        <w:szCs w:val="24"/>
      </w:rPr>
      <w:tab/>
    </w:r>
    <w:r w:rsidRPr="008D5C02">
      <w:rPr>
        <w:b/>
        <w:color w:val="1F497D" w:themeColor="text2"/>
        <w:sz w:val="24"/>
        <w:szCs w:val="24"/>
      </w:rPr>
      <w:tab/>
    </w:r>
    <w:r w:rsidRPr="008D5C02">
      <w:rPr>
        <w:b/>
        <w:color w:val="1F497D" w:themeColor="text2"/>
        <w:sz w:val="24"/>
        <w:szCs w:val="24"/>
      </w:rPr>
      <w:tab/>
    </w:r>
    <w:r w:rsidRPr="008D5C02">
      <w:rPr>
        <w:b/>
        <w:color w:val="1F497D" w:themeColor="text2"/>
        <w:sz w:val="24"/>
        <w:szCs w:val="24"/>
      </w:rPr>
      <w:tab/>
    </w:r>
    <w:r w:rsidRPr="008D5C02">
      <w:rPr>
        <w:b/>
        <w:color w:val="1F497D" w:themeColor="text2"/>
        <w:sz w:val="24"/>
        <w:szCs w:val="24"/>
      </w:rPr>
      <w:tab/>
    </w:r>
    <w:r w:rsidRPr="008D5C02">
      <w:rPr>
        <w:b/>
        <w:color w:val="1F497D" w:themeColor="text2"/>
        <w:sz w:val="24"/>
        <w:szCs w:val="24"/>
      </w:rPr>
      <w:tab/>
    </w:r>
    <w:r w:rsidRPr="008D5C02">
      <w:rPr>
        <w:b/>
        <w:color w:val="1F497D" w:themeColor="text2"/>
        <w:sz w:val="24"/>
        <w:szCs w:val="24"/>
      </w:rPr>
      <w:tab/>
    </w:r>
    <w:r w:rsidRPr="008D5C02">
      <w:rPr>
        <w:b/>
        <w:color w:val="1F497D" w:themeColor="text2"/>
        <w:sz w:val="24"/>
        <w:szCs w:val="24"/>
      </w:rPr>
      <w:tab/>
    </w:r>
    <w:r w:rsidRPr="008D5C02">
      <w:rPr>
        <w:b/>
        <w:color w:val="1F497D" w:themeColor="text2"/>
        <w:sz w:val="24"/>
        <w:szCs w:val="24"/>
      </w:rPr>
      <w:tab/>
    </w:r>
    <w:fldSimple w:instr=" PAGE   \* MERGEFORMAT ">
      <w:r w:rsidR="00F473EA" w:rsidRPr="00F473EA">
        <w:rPr>
          <w:b/>
          <w:noProof/>
          <w:color w:val="1F497D" w:themeColor="text2"/>
          <w:sz w:val="24"/>
          <w:szCs w:val="24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E88" w:rsidRDefault="00864E88" w:rsidP="00D06F50">
      <w:pPr>
        <w:spacing w:after="0"/>
      </w:pPr>
      <w:r>
        <w:separator/>
      </w:r>
    </w:p>
  </w:footnote>
  <w:footnote w:type="continuationSeparator" w:id="0">
    <w:p w:rsidR="00864E88" w:rsidRDefault="00864E88" w:rsidP="00D06F5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242" w:rsidRPr="008D5C02" w:rsidRDefault="00083242" w:rsidP="008D5C02">
    <w:pPr>
      <w:pStyle w:val="Header"/>
      <w:spacing w:after="240"/>
      <w:ind w:left="0"/>
      <w:jc w:val="center"/>
      <w:rPr>
        <w:b/>
        <w:sz w:val="36"/>
        <w:szCs w:val="36"/>
      </w:rPr>
    </w:pPr>
    <w:r>
      <w:rPr>
        <w:b/>
        <w:color w:val="1F497D" w:themeColor="text2"/>
        <w:sz w:val="36"/>
        <w:szCs w:val="36"/>
      </w:rPr>
      <w:t>ICT-</w:t>
    </w:r>
    <w:r w:rsidRPr="008D5C02">
      <w:rPr>
        <w:b/>
        <w:color w:val="1F497D" w:themeColor="text2"/>
        <w:sz w:val="36"/>
        <w:szCs w:val="36"/>
      </w:rPr>
      <w:t xml:space="preserve">TTF </w:t>
    </w:r>
    <w:r>
      <w:rPr>
        <w:b/>
        <w:color w:val="1F497D" w:themeColor="text2"/>
        <w:sz w:val="36"/>
        <w:szCs w:val="36"/>
      </w:rPr>
      <w:t>Workshop – Drafting of ICT Elaborations for Graduate Standards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01B"/>
    <w:multiLevelType w:val="hybridMultilevel"/>
    <w:tmpl w:val="0144CE18"/>
    <w:lvl w:ilvl="0" w:tplc="E96A2A10">
      <w:start w:val="1"/>
      <w:numFmt w:val="upperLetter"/>
      <w:pStyle w:val="HeadingA1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96677"/>
    <w:multiLevelType w:val="hybridMultilevel"/>
    <w:tmpl w:val="7D68695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591FF0"/>
    <w:multiLevelType w:val="hybridMultilevel"/>
    <w:tmpl w:val="D35C257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D67BAE"/>
    <w:multiLevelType w:val="hybridMultilevel"/>
    <w:tmpl w:val="5094917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3FB62B1"/>
    <w:multiLevelType w:val="hybridMultilevel"/>
    <w:tmpl w:val="D56658B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7F0E8B"/>
    <w:multiLevelType w:val="multilevel"/>
    <w:tmpl w:val="71CE552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69425A97"/>
    <w:multiLevelType w:val="hybridMultilevel"/>
    <w:tmpl w:val="2544FEC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8433" fillcolor="none [2409]" strokecolor="none [3212]">
      <v:fill color="none [2409]"/>
      <v:stroke color="none [3212]" weight="0"/>
      <o:colormenu v:ext="edit" fillcolor="none [1302]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C70B2"/>
    <w:rsid w:val="00001001"/>
    <w:rsid w:val="000019CA"/>
    <w:rsid w:val="000025EE"/>
    <w:rsid w:val="00002AE6"/>
    <w:rsid w:val="000038F2"/>
    <w:rsid w:val="00003B15"/>
    <w:rsid w:val="00006839"/>
    <w:rsid w:val="00011503"/>
    <w:rsid w:val="000126C3"/>
    <w:rsid w:val="00013794"/>
    <w:rsid w:val="00013F9A"/>
    <w:rsid w:val="000149A0"/>
    <w:rsid w:val="000162CF"/>
    <w:rsid w:val="000163A9"/>
    <w:rsid w:val="000201CB"/>
    <w:rsid w:val="00021103"/>
    <w:rsid w:val="00021198"/>
    <w:rsid w:val="000225B4"/>
    <w:rsid w:val="00022A7C"/>
    <w:rsid w:val="00022C3D"/>
    <w:rsid w:val="000245B1"/>
    <w:rsid w:val="0002492B"/>
    <w:rsid w:val="0002536F"/>
    <w:rsid w:val="00030348"/>
    <w:rsid w:val="000306E4"/>
    <w:rsid w:val="0003267B"/>
    <w:rsid w:val="00032F07"/>
    <w:rsid w:val="00033FDE"/>
    <w:rsid w:val="00040527"/>
    <w:rsid w:val="000408F3"/>
    <w:rsid w:val="00040905"/>
    <w:rsid w:val="00040C90"/>
    <w:rsid w:val="000441F9"/>
    <w:rsid w:val="000451A4"/>
    <w:rsid w:val="00045239"/>
    <w:rsid w:val="00050531"/>
    <w:rsid w:val="00050F08"/>
    <w:rsid w:val="00051D63"/>
    <w:rsid w:val="00053E3F"/>
    <w:rsid w:val="00055302"/>
    <w:rsid w:val="00055612"/>
    <w:rsid w:val="00055B71"/>
    <w:rsid w:val="00055DEE"/>
    <w:rsid w:val="00057048"/>
    <w:rsid w:val="000578B0"/>
    <w:rsid w:val="00060930"/>
    <w:rsid w:val="00061AED"/>
    <w:rsid w:val="0006382C"/>
    <w:rsid w:val="00063984"/>
    <w:rsid w:val="00064DBC"/>
    <w:rsid w:val="00065F45"/>
    <w:rsid w:val="00066470"/>
    <w:rsid w:val="00066510"/>
    <w:rsid w:val="00067682"/>
    <w:rsid w:val="0007092E"/>
    <w:rsid w:val="000709A5"/>
    <w:rsid w:val="00070DB2"/>
    <w:rsid w:val="0007112D"/>
    <w:rsid w:val="00071581"/>
    <w:rsid w:val="00075554"/>
    <w:rsid w:val="00076619"/>
    <w:rsid w:val="000766A1"/>
    <w:rsid w:val="00076C6A"/>
    <w:rsid w:val="00077DFD"/>
    <w:rsid w:val="00081410"/>
    <w:rsid w:val="00083242"/>
    <w:rsid w:val="00083E10"/>
    <w:rsid w:val="00090B07"/>
    <w:rsid w:val="00091F14"/>
    <w:rsid w:val="0009270F"/>
    <w:rsid w:val="00093355"/>
    <w:rsid w:val="00093BD6"/>
    <w:rsid w:val="000979F5"/>
    <w:rsid w:val="000A1137"/>
    <w:rsid w:val="000A336E"/>
    <w:rsid w:val="000A67DE"/>
    <w:rsid w:val="000B00FB"/>
    <w:rsid w:val="000B0A29"/>
    <w:rsid w:val="000B1CCE"/>
    <w:rsid w:val="000B2A3E"/>
    <w:rsid w:val="000B434E"/>
    <w:rsid w:val="000B5C0C"/>
    <w:rsid w:val="000B6EA8"/>
    <w:rsid w:val="000C280F"/>
    <w:rsid w:val="000C4131"/>
    <w:rsid w:val="000C4A95"/>
    <w:rsid w:val="000C6059"/>
    <w:rsid w:val="000C6D61"/>
    <w:rsid w:val="000C7980"/>
    <w:rsid w:val="000D159D"/>
    <w:rsid w:val="000D22BC"/>
    <w:rsid w:val="000D4304"/>
    <w:rsid w:val="000D48BD"/>
    <w:rsid w:val="000D526D"/>
    <w:rsid w:val="000D5487"/>
    <w:rsid w:val="000D64B4"/>
    <w:rsid w:val="000D65E8"/>
    <w:rsid w:val="000E0F8F"/>
    <w:rsid w:val="000E31A8"/>
    <w:rsid w:val="000E3BBF"/>
    <w:rsid w:val="000E73CD"/>
    <w:rsid w:val="000F04DC"/>
    <w:rsid w:val="000F0C0E"/>
    <w:rsid w:val="000F111B"/>
    <w:rsid w:val="000F1F65"/>
    <w:rsid w:val="000F29F3"/>
    <w:rsid w:val="000F3101"/>
    <w:rsid w:val="000F50F2"/>
    <w:rsid w:val="000F7E02"/>
    <w:rsid w:val="001004E5"/>
    <w:rsid w:val="001010FB"/>
    <w:rsid w:val="00102F10"/>
    <w:rsid w:val="001032C7"/>
    <w:rsid w:val="00103330"/>
    <w:rsid w:val="00106BB6"/>
    <w:rsid w:val="00107740"/>
    <w:rsid w:val="00110D3E"/>
    <w:rsid w:val="00112BD6"/>
    <w:rsid w:val="00113CA6"/>
    <w:rsid w:val="00115E07"/>
    <w:rsid w:val="00116937"/>
    <w:rsid w:val="00116F2B"/>
    <w:rsid w:val="00123AA2"/>
    <w:rsid w:val="001267B4"/>
    <w:rsid w:val="00126C9C"/>
    <w:rsid w:val="00130150"/>
    <w:rsid w:val="001317BE"/>
    <w:rsid w:val="00133691"/>
    <w:rsid w:val="00135DC9"/>
    <w:rsid w:val="00135ECF"/>
    <w:rsid w:val="00136C41"/>
    <w:rsid w:val="00136E21"/>
    <w:rsid w:val="00140BE7"/>
    <w:rsid w:val="0014277F"/>
    <w:rsid w:val="001434A6"/>
    <w:rsid w:val="00143DA7"/>
    <w:rsid w:val="001440F1"/>
    <w:rsid w:val="00144684"/>
    <w:rsid w:val="00146788"/>
    <w:rsid w:val="001471B5"/>
    <w:rsid w:val="00147C0C"/>
    <w:rsid w:val="00147C6F"/>
    <w:rsid w:val="00151E8A"/>
    <w:rsid w:val="0015204A"/>
    <w:rsid w:val="00153AD1"/>
    <w:rsid w:val="00155FE3"/>
    <w:rsid w:val="00157EE1"/>
    <w:rsid w:val="00162A9D"/>
    <w:rsid w:val="001631A7"/>
    <w:rsid w:val="001633A4"/>
    <w:rsid w:val="001645F8"/>
    <w:rsid w:val="0016690C"/>
    <w:rsid w:val="00166D85"/>
    <w:rsid w:val="001728CF"/>
    <w:rsid w:val="00172950"/>
    <w:rsid w:val="001740ED"/>
    <w:rsid w:val="00174F19"/>
    <w:rsid w:val="00175835"/>
    <w:rsid w:val="00176F5D"/>
    <w:rsid w:val="00181667"/>
    <w:rsid w:val="00182013"/>
    <w:rsid w:val="0018213C"/>
    <w:rsid w:val="00182AD5"/>
    <w:rsid w:val="00183A2D"/>
    <w:rsid w:val="0018422F"/>
    <w:rsid w:val="0018477F"/>
    <w:rsid w:val="00186EB4"/>
    <w:rsid w:val="001877CB"/>
    <w:rsid w:val="00190E84"/>
    <w:rsid w:val="001918D2"/>
    <w:rsid w:val="0019292D"/>
    <w:rsid w:val="00193E2F"/>
    <w:rsid w:val="00194A48"/>
    <w:rsid w:val="00195EE1"/>
    <w:rsid w:val="00196C36"/>
    <w:rsid w:val="00197605"/>
    <w:rsid w:val="001A0993"/>
    <w:rsid w:val="001A1A21"/>
    <w:rsid w:val="001A1D0A"/>
    <w:rsid w:val="001A2168"/>
    <w:rsid w:val="001A3674"/>
    <w:rsid w:val="001A3FBD"/>
    <w:rsid w:val="001A4262"/>
    <w:rsid w:val="001A4D64"/>
    <w:rsid w:val="001A5AD1"/>
    <w:rsid w:val="001B1AC3"/>
    <w:rsid w:val="001B1FB1"/>
    <w:rsid w:val="001B27E7"/>
    <w:rsid w:val="001B3631"/>
    <w:rsid w:val="001B3735"/>
    <w:rsid w:val="001B45A7"/>
    <w:rsid w:val="001B5783"/>
    <w:rsid w:val="001B62E4"/>
    <w:rsid w:val="001C1F1B"/>
    <w:rsid w:val="001C48C9"/>
    <w:rsid w:val="001C557F"/>
    <w:rsid w:val="001C64E4"/>
    <w:rsid w:val="001C707F"/>
    <w:rsid w:val="001C7848"/>
    <w:rsid w:val="001D0B1F"/>
    <w:rsid w:val="001D1068"/>
    <w:rsid w:val="001D38B8"/>
    <w:rsid w:val="001D3F35"/>
    <w:rsid w:val="001D4B6E"/>
    <w:rsid w:val="001D65AE"/>
    <w:rsid w:val="001D7ABA"/>
    <w:rsid w:val="001E0791"/>
    <w:rsid w:val="001E2261"/>
    <w:rsid w:val="001E4CDC"/>
    <w:rsid w:val="001E524A"/>
    <w:rsid w:val="001E6CFD"/>
    <w:rsid w:val="001F2875"/>
    <w:rsid w:val="001F2FBE"/>
    <w:rsid w:val="001F56E3"/>
    <w:rsid w:val="001F61D1"/>
    <w:rsid w:val="001F72EB"/>
    <w:rsid w:val="001F785F"/>
    <w:rsid w:val="001F79B3"/>
    <w:rsid w:val="001F7E98"/>
    <w:rsid w:val="00200D37"/>
    <w:rsid w:val="00203965"/>
    <w:rsid w:val="00203BBA"/>
    <w:rsid w:val="00205A47"/>
    <w:rsid w:val="002062FF"/>
    <w:rsid w:val="002104D3"/>
    <w:rsid w:val="00210620"/>
    <w:rsid w:val="00211A0E"/>
    <w:rsid w:val="00211B7C"/>
    <w:rsid w:val="00212060"/>
    <w:rsid w:val="002148F3"/>
    <w:rsid w:val="00215665"/>
    <w:rsid w:val="0021771A"/>
    <w:rsid w:val="002205C1"/>
    <w:rsid w:val="00224308"/>
    <w:rsid w:val="0023297B"/>
    <w:rsid w:val="00234B8E"/>
    <w:rsid w:val="00236661"/>
    <w:rsid w:val="0023684A"/>
    <w:rsid w:val="00236C10"/>
    <w:rsid w:val="002370E2"/>
    <w:rsid w:val="002419D0"/>
    <w:rsid w:val="00243655"/>
    <w:rsid w:val="00245645"/>
    <w:rsid w:val="002531A9"/>
    <w:rsid w:val="00253766"/>
    <w:rsid w:val="0025414E"/>
    <w:rsid w:val="00254432"/>
    <w:rsid w:val="002557D4"/>
    <w:rsid w:val="0025634C"/>
    <w:rsid w:val="00262B31"/>
    <w:rsid w:val="00266517"/>
    <w:rsid w:val="0026714A"/>
    <w:rsid w:val="0027034E"/>
    <w:rsid w:val="00271945"/>
    <w:rsid w:val="00274F9C"/>
    <w:rsid w:val="00275D2C"/>
    <w:rsid w:val="00275F63"/>
    <w:rsid w:val="00276121"/>
    <w:rsid w:val="002764C4"/>
    <w:rsid w:val="002768A2"/>
    <w:rsid w:val="00276D44"/>
    <w:rsid w:val="0028106F"/>
    <w:rsid w:val="00281AF9"/>
    <w:rsid w:val="00282745"/>
    <w:rsid w:val="00284A27"/>
    <w:rsid w:val="0028691F"/>
    <w:rsid w:val="00287114"/>
    <w:rsid w:val="00291FD7"/>
    <w:rsid w:val="00293029"/>
    <w:rsid w:val="00293D38"/>
    <w:rsid w:val="0029510D"/>
    <w:rsid w:val="002A1FE5"/>
    <w:rsid w:val="002A20B5"/>
    <w:rsid w:val="002A5280"/>
    <w:rsid w:val="002A6112"/>
    <w:rsid w:val="002A66AD"/>
    <w:rsid w:val="002B029C"/>
    <w:rsid w:val="002B2179"/>
    <w:rsid w:val="002B4E14"/>
    <w:rsid w:val="002B6159"/>
    <w:rsid w:val="002B67CE"/>
    <w:rsid w:val="002C35B8"/>
    <w:rsid w:val="002C70F3"/>
    <w:rsid w:val="002D24BC"/>
    <w:rsid w:val="002D29E0"/>
    <w:rsid w:val="002D4489"/>
    <w:rsid w:val="002E0216"/>
    <w:rsid w:val="002E087F"/>
    <w:rsid w:val="002E1651"/>
    <w:rsid w:val="002E2935"/>
    <w:rsid w:val="002E2F76"/>
    <w:rsid w:val="002E3CBC"/>
    <w:rsid w:val="002E3ECF"/>
    <w:rsid w:val="002E5D30"/>
    <w:rsid w:val="002E61BB"/>
    <w:rsid w:val="002E65E0"/>
    <w:rsid w:val="002E6CE9"/>
    <w:rsid w:val="002E7F8B"/>
    <w:rsid w:val="002F0297"/>
    <w:rsid w:val="002F0678"/>
    <w:rsid w:val="002F096B"/>
    <w:rsid w:val="002F12C4"/>
    <w:rsid w:val="002F1A1B"/>
    <w:rsid w:val="002F49ED"/>
    <w:rsid w:val="002F5994"/>
    <w:rsid w:val="002F6639"/>
    <w:rsid w:val="002F693D"/>
    <w:rsid w:val="003024CD"/>
    <w:rsid w:val="00303DB7"/>
    <w:rsid w:val="00304B9F"/>
    <w:rsid w:val="0030528C"/>
    <w:rsid w:val="0030550C"/>
    <w:rsid w:val="00306F4E"/>
    <w:rsid w:val="00307707"/>
    <w:rsid w:val="00310B2F"/>
    <w:rsid w:val="00311082"/>
    <w:rsid w:val="00311A2B"/>
    <w:rsid w:val="00312190"/>
    <w:rsid w:val="0031298B"/>
    <w:rsid w:val="0031307E"/>
    <w:rsid w:val="00313408"/>
    <w:rsid w:val="003137F2"/>
    <w:rsid w:val="003146E7"/>
    <w:rsid w:val="00316EE9"/>
    <w:rsid w:val="00320572"/>
    <w:rsid w:val="0032071A"/>
    <w:rsid w:val="00320B3A"/>
    <w:rsid w:val="0032312B"/>
    <w:rsid w:val="00326535"/>
    <w:rsid w:val="003273DC"/>
    <w:rsid w:val="00327FEC"/>
    <w:rsid w:val="00330628"/>
    <w:rsid w:val="00330F26"/>
    <w:rsid w:val="0033203B"/>
    <w:rsid w:val="00334B73"/>
    <w:rsid w:val="0033512C"/>
    <w:rsid w:val="00336479"/>
    <w:rsid w:val="00341320"/>
    <w:rsid w:val="00341B7F"/>
    <w:rsid w:val="00342237"/>
    <w:rsid w:val="003423BA"/>
    <w:rsid w:val="00347167"/>
    <w:rsid w:val="00347B67"/>
    <w:rsid w:val="00350EBB"/>
    <w:rsid w:val="0035261D"/>
    <w:rsid w:val="00352685"/>
    <w:rsid w:val="00354F82"/>
    <w:rsid w:val="00354F8C"/>
    <w:rsid w:val="0036264F"/>
    <w:rsid w:val="0036491D"/>
    <w:rsid w:val="003658D4"/>
    <w:rsid w:val="0036652C"/>
    <w:rsid w:val="00366CE6"/>
    <w:rsid w:val="00372848"/>
    <w:rsid w:val="00373555"/>
    <w:rsid w:val="0037378F"/>
    <w:rsid w:val="00375F12"/>
    <w:rsid w:val="00376049"/>
    <w:rsid w:val="003773A1"/>
    <w:rsid w:val="00377E25"/>
    <w:rsid w:val="003801D8"/>
    <w:rsid w:val="003805EA"/>
    <w:rsid w:val="00385A88"/>
    <w:rsid w:val="0039137C"/>
    <w:rsid w:val="003926A8"/>
    <w:rsid w:val="00392B2B"/>
    <w:rsid w:val="00394F79"/>
    <w:rsid w:val="00397E17"/>
    <w:rsid w:val="003A2AC5"/>
    <w:rsid w:val="003A419C"/>
    <w:rsid w:val="003A5B04"/>
    <w:rsid w:val="003A5BE2"/>
    <w:rsid w:val="003A652E"/>
    <w:rsid w:val="003B0CB9"/>
    <w:rsid w:val="003B16F4"/>
    <w:rsid w:val="003B1E0B"/>
    <w:rsid w:val="003B2633"/>
    <w:rsid w:val="003B468D"/>
    <w:rsid w:val="003B47CB"/>
    <w:rsid w:val="003B5FC7"/>
    <w:rsid w:val="003B6557"/>
    <w:rsid w:val="003B67A5"/>
    <w:rsid w:val="003B6904"/>
    <w:rsid w:val="003C326A"/>
    <w:rsid w:val="003C40A6"/>
    <w:rsid w:val="003C4A4B"/>
    <w:rsid w:val="003D1A4B"/>
    <w:rsid w:val="003D7172"/>
    <w:rsid w:val="003D7257"/>
    <w:rsid w:val="003E5C85"/>
    <w:rsid w:val="003E68A5"/>
    <w:rsid w:val="003F210D"/>
    <w:rsid w:val="003F24FF"/>
    <w:rsid w:val="003F3917"/>
    <w:rsid w:val="003F562B"/>
    <w:rsid w:val="003F5BE1"/>
    <w:rsid w:val="003F5EE3"/>
    <w:rsid w:val="003F61CE"/>
    <w:rsid w:val="003F64BD"/>
    <w:rsid w:val="003F6ACD"/>
    <w:rsid w:val="003F72E9"/>
    <w:rsid w:val="003F7E59"/>
    <w:rsid w:val="0040261F"/>
    <w:rsid w:val="00403B29"/>
    <w:rsid w:val="00405F41"/>
    <w:rsid w:val="00407238"/>
    <w:rsid w:val="00407527"/>
    <w:rsid w:val="00407AA4"/>
    <w:rsid w:val="00407C3C"/>
    <w:rsid w:val="00407FA8"/>
    <w:rsid w:val="00410F18"/>
    <w:rsid w:val="0041206C"/>
    <w:rsid w:val="004129A4"/>
    <w:rsid w:val="0041610A"/>
    <w:rsid w:val="00417C86"/>
    <w:rsid w:val="00417ED0"/>
    <w:rsid w:val="00421254"/>
    <w:rsid w:val="0042208B"/>
    <w:rsid w:val="00423450"/>
    <w:rsid w:val="0042620F"/>
    <w:rsid w:val="00426901"/>
    <w:rsid w:val="0042785E"/>
    <w:rsid w:val="00430A66"/>
    <w:rsid w:val="0043155D"/>
    <w:rsid w:val="00431702"/>
    <w:rsid w:val="00431C19"/>
    <w:rsid w:val="0043662F"/>
    <w:rsid w:val="00440EC5"/>
    <w:rsid w:val="00441DE2"/>
    <w:rsid w:val="004428B3"/>
    <w:rsid w:val="00444538"/>
    <w:rsid w:val="00444F0E"/>
    <w:rsid w:val="00447549"/>
    <w:rsid w:val="00450049"/>
    <w:rsid w:val="00453ACA"/>
    <w:rsid w:val="00453E15"/>
    <w:rsid w:val="00453E50"/>
    <w:rsid w:val="00454065"/>
    <w:rsid w:val="00454919"/>
    <w:rsid w:val="00456185"/>
    <w:rsid w:val="00456F03"/>
    <w:rsid w:val="004607AE"/>
    <w:rsid w:val="00460BDC"/>
    <w:rsid w:val="00462F74"/>
    <w:rsid w:val="004635C9"/>
    <w:rsid w:val="004642B1"/>
    <w:rsid w:val="00464752"/>
    <w:rsid w:val="00465D88"/>
    <w:rsid w:val="0046646B"/>
    <w:rsid w:val="00467D0D"/>
    <w:rsid w:val="00467DB9"/>
    <w:rsid w:val="00471029"/>
    <w:rsid w:val="0047226D"/>
    <w:rsid w:val="00473BBE"/>
    <w:rsid w:val="00474AD4"/>
    <w:rsid w:val="00475D09"/>
    <w:rsid w:val="00476551"/>
    <w:rsid w:val="00477329"/>
    <w:rsid w:val="00477956"/>
    <w:rsid w:val="00481AB5"/>
    <w:rsid w:val="00482B78"/>
    <w:rsid w:val="00482F02"/>
    <w:rsid w:val="0048317B"/>
    <w:rsid w:val="00483622"/>
    <w:rsid w:val="00483898"/>
    <w:rsid w:val="00486712"/>
    <w:rsid w:val="00487506"/>
    <w:rsid w:val="004877AB"/>
    <w:rsid w:val="004936B1"/>
    <w:rsid w:val="00493897"/>
    <w:rsid w:val="00493C5D"/>
    <w:rsid w:val="004944D5"/>
    <w:rsid w:val="0049488E"/>
    <w:rsid w:val="00496533"/>
    <w:rsid w:val="0049787C"/>
    <w:rsid w:val="004A18A6"/>
    <w:rsid w:val="004A22BA"/>
    <w:rsid w:val="004A4AA0"/>
    <w:rsid w:val="004A589B"/>
    <w:rsid w:val="004A5FAE"/>
    <w:rsid w:val="004A6A7F"/>
    <w:rsid w:val="004A7124"/>
    <w:rsid w:val="004A77ED"/>
    <w:rsid w:val="004B06DC"/>
    <w:rsid w:val="004B093D"/>
    <w:rsid w:val="004B1088"/>
    <w:rsid w:val="004B1B09"/>
    <w:rsid w:val="004B1BD7"/>
    <w:rsid w:val="004B2E34"/>
    <w:rsid w:val="004B4145"/>
    <w:rsid w:val="004B4202"/>
    <w:rsid w:val="004B5437"/>
    <w:rsid w:val="004B6B83"/>
    <w:rsid w:val="004C323A"/>
    <w:rsid w:val="004C448F"/>
    <w:rsid w:val="004C5C2E"/>
    <w:rsid w:val="004C6BBD"/>
    <w:rsid w:val="004C6D71"/>
    <w:rsid w:val="004C7252"/>
    <w:rsid w:val="004D01E0"/>
    <w:rsid w:val="004D0B73"/>
    <w:rsid w:val="004D63A4"/>
    <w:rsid w:val="004D696D"/>
    <w:rsid w:val="004D7131"/>
    <w:rsid w:val="004D7364"/>
    <w:rsid w:val="004E0382"/>
    <w:rsid w:val="004E0C16"/>
    <w:rsid w:val="004E0E84"/>
    <w:rsid w:val="004E2E47"/>
    <w:rsid w:val="004E365A"/>
    <w:rsid w:val="004E4637"/>
    <w:rsid w:val="004E4EAD"/>
    <w:rsid w:val="004E7A9F"/>
    <w:rsid w:val="004F3B47"/>
    <w:rsid w:val="004F43AF"/>
    <w:rsid w:val="004F7377"/>
    <w:rsid w:val="00502A28"/>
    <w:rsid w:val="00502E27"/>
    <w:rsid w:val="00503A56"/>
    <w:rsid w:val="0050744A"/>
    <w:rsid w:val="00507B4A"/>
    <w:rsid w:val="00507CE7"/>
    <w:rsid w:val="0051150B"/>
    <w:rsid w:val="00513E8C"/>
    <w:rsid w:val="00514601"/>
    <w:rsid w:val="00517CCC"/>
    <w:rsid w:val="00522165"/>
    <w:rsid w:val="00522DE1"/>
    <w:rsid w:val="00524DC2"/>
    <w:rsid w:val="00527E97"/>
    <w:rsid w:val="005325EE"/>
    <w:rsid w:val="0053299D"/>
    <w:rsid w:val="00540604"/>
    <w:rsid w:val="00540F72"/>
    <w:rsid w:val="00546A91"/>
    <w:rsid w:val="00546B73"/>
    <w:rsid w:val="00547B52"/>
    <w:rsid w:val="00551509"/>
    <w:rsid w:val="00551FB0"/>
    <w:rsid w:val="0055315E"/>
    <w:rsid w:val="00553370"/>
    <w:rsid w:val="00553DE5"/>
    <w:rsid w:val="00554020"/>
    <w:rsid w:val="00554591"/>
    <w:rsid w:val="005665FA"/>
    <w:rsid w:val="0057074A"/>
    <w:rsid w:val="00570B9D"/>
    <w:rsid w:val="0057162F"/>
    <w:rsid w:val="005717D0"/>
    <w:rsid w:val="005728C6"/>
    <w:rsid w:val="00572980"/>
    <w:rsid w:val="00572CD7"/>
    <w:rsid w:val="00575A59"/>
    <w:rsid w:val="0057755D"/>
    <w:rsid w:val="00582B41"/>
    <w:rsid w:val="00582CD7"/>
    <w:rsid w:val="00584E89"/>
    <w:rsid w:val="00585674"/>
    <w:rsid w:val="00585B63"/>
    <w:rsid w:val="00585DAB"/>
    <w:rsid w:val="00587798"/>
    <w:rsid w:val="00593B52"/>
    <w:rsid w:val="005946CC"/>
    <w:rsid w:val="0059795C"/>
    <w:rsid w:val="005A2A7B"/>
    <w:rsid w:val="005A3AB2"/>
    <w:rsid w:val="005A43B1"/>
    <w:rsid w:val="005A6AB7"/>
    <w:rsid w:val="005B0389"/>
    <w:rsid w:val="005B1A5E"/>
    <w:rsid w:val="005B3B4A"/>
    <w:rsid w:val="005B560A"/>
    <w:rsid w:val="005B6C7F"/>
    <w:rsid w:val="005C1738"/>
    <w:rsid w:val="005C3B3D"/>
    <w:rsid w:val="005C3D39"/>
    <w:rsid w:val="005C4060"/>
    <w:rsid w:val="005C6C01"/>
    <w:rsid w:val="005C6DBD"/>
    <w:rsid w:val="005D080C"/>
    <w:rsid w:val="005E0170"/>
    <w:rsid w:val="005E12D5"/>
    <w:rsid w:val="005E151F"/>
    <w:rsid w:val="005E4992"/>
    <w:rsid w:val="005E782C"/>
    <w:rsid w:val="005F20C5"/>
    <w:rsid w:val="005F51B9"/>
    <w:rsid w:val="005F7291"/>
    <w:rsid w:val="005F752B"/>
    <w:rsid w:val="00600B54"/>
    <w:rsid w:val="0060292D"/>
    <w:rsid w:val="006035C2"/>
    <w:rsid w:val="00606385"/>
    <w:rsid w:val="00607FBD"/>
    <w:rsid w:val="00610570"/>
    <w:rsid w:val="00611D87"/>
    <w:rsid w:val="00612C5E"/>
    <w:rsid w:val="00613A51"/>
    <w:rsid w:val="006157B8"/>
    <w:rsid w:val="00615E0A"/>
    <w:rsid w:val="00616E72"/>
    <w:rsid w:val="006171BB"/>
    <w:rsid w:val="00617924"/>
    <w:rsid w:val="0062285D"/>
    <w:rsid w:val="0062553F"/>
    <w:rsid w:val="00626100"/>
    <w:rsid w:val="00632721"/>
    <w:rsid w:val="00632B89"/>
    <w:rsid w:val="006334DD"/>
    <w:rsid w:val="00633C8E"/>
    <w:rsid w:val="0063405C"/>
    <w:rsid w:val="00640E5C"/>
    <w:rsid w:val="00643434"/>
    <w:rsid w:val="006445E4"/>
    <w:rsid w:val="0064674B"/>
    <w:rsid w:val="006468FB"/>
    <w:rsid w:val="00646D3C"/>
    <w:rsid w:val="00653E6D"/>
    <w:rsid w:val="006554BB"/>
    <w:rsid w:val="006561CA"/>
    <w:rsid w:val="00656FBB"/>
    <w:rsid w:val="00657554"/>
    <w:rsid w:val="00657BF6"/>
    <w:rsid w:val="0066194D"/>
    <w:rsid w:val="006623D0"/>
    <w:rsid w:val="00665112"/>
    <w:rsid w:val="00665DE2"/>
    <w:rsid w:val="00665F03"/>
    <w:rsid w:val="00666AD6"/>
    <w:rsid w:val="00666E71"/>
    <w:rsid w:val="00670959"/>
    <w:rsid w:val="00671176"/>
    <w:rsid w:val="00672977"/>
    <w:rsid w:val="00673A87"/>
    <w:rsid w:val="00676BC5"/>
    <w:rsid w:val="00677760"/>
    <w:rsid w:val="00680EB9"/>
    <w:rsid w:val="00682486"/>
    <w:rsid w:val="00684ECE"/>
    <w:rsid w:val="006850BD"/>
    <w:rsid w:val="00686802"/>
    <w:rsid w:val="00687537"/>
    <w:rsid w:val="006900A0"/>
    <w:rsid w:val="00691530"/>
    <w:rsid w:val="00692CE4"/>
    <w:rsid w:val="00693DC9"/>
    <w:rsid w:val="00694762"/>
    <w:rsid w:val="006950B0"/>
    <w:rsid w:val="00696F53"/>
    <w:rsid w:val="006A08C8"/>
    <w:rsid w:val="006A5325"/>
    <w:rsid w:val="006A691C"/>
    <w:rsid w:val="006B005E"/>
    <w:rsid w:val="006B0183"/>
    <w:rsid w:val="006B0EA8"/>
    <w:rsid w:val="006B1BAD"/>
    <w:rsid w:val="006B39DC"/>
    <w:rsid w:val="006B5C38"/>
    <w:rsid w:val="006B7EC7"/>
    <w:rsid w:val="006C09D6"/>
    <w:rsid w:val="006C13D3"/>
    <w:rsid w:val="006C194E"/>
    <w:rsid w:val="006C2FD3"/>
    <w:rsid w:val="006C3E81"/>
    <w:rsid w:val="006C438F"/>
    <w:rsid w:val="006C6A97"/>
    <w:rsid w:val="006C6C06"/>
    <w:rsid w:val="006D0C73"/>
    <w:rsid w:val="006D162F"/>
    <w:rsid w:val="006D1E11"/>
    <w:rsid w:val="006D21BC"/>
    <w:rsid w:val="006D2AF8"/>
    <w:rsid w:val="006D36D4"/>
    <w:rsid w:val="006D45E9"/>
    <w:rsid w:val="006D45F9"/>
    <w:rsid w:val="006D6FF1"/>
    <w:rsid w:val="006E0BC7"/>
    <w:rsid w:val="006E0C98"/>
    <w:rsid w:val="006E3762"/>
    <w:rsid w:val="006E3984"/>
    <w:rsid w:val="006E4886"/>
    <w:rsid w:val="006F2356"/>
    <w:rsid w:val="006F47C3"/>
    <w:rsid w:val="006F5519"/>
    <w:rsid w:val="00702B1A"/>
    <w:rsid w:val="00703679"/>
    <w:rsid w:val="00703E8D"/>
    <w:rsid w:val="00704805"/>
    <w:rsid w:val="00704C8B"/>
    <w:rsid w:val="00704E9A"/>
    <w:rsid w:val="00711C3D"/>
    <w:rsid w:val="00714215"/>
    <w:rsid w:val="00716E04"/>
    <w:rsid w:val="0072046F"/>
    <w:rsid w:val="007214A3"/>
    <w:rsid w:val="00721551"/>
    <w:rsid w:val="00722854"/>
    <w:rsid w:val="0072344B"/>
    <w:rsid w:val="0072388C"/>
    <w:rsid w:val="007253D3"/>
    <w:rsid w:val="00725981"/>
    <w:rsid w:val="00726186"/>
    <w:rsid w:val="0072638D"/>
    <w:rsid w:val="007308CA"/>
    <w:rsid w:val="00730CC8"/>
    <w:rsid w:val="00731D22"/>
    <w:rsid w:val="00732992"/>
    <w:rsid w:val="00733730"/>
    <w:rsid w:val="007337E0"/>
    <w:rsid w:val="00734B09"/>
    <w:rsid w:val="00734D9E"/>
    <w:rsid w:val="00734F9E"/>
    <w:rsid w:val="00737094"/>
    <w:rsid w:val="00740FAF"/>
    <w:rsid w:val="00740FD1"/>
    <w:rsid w:val="00741065"/>
    <w:rsid w:val="00743138"/>
    <w:rsid w:val="007437A8"/>
    <w:rsid w:val="007437FE"/>
    <w:rsid w:val="007445F2"/>
    <w:rsid w:val="00746625"/>
    <w:rsid w:val="00747014"/>
    <w:rsid w:val="00750089"/>
    <w:rsid w:val="00751839"/>
    <w:rsid w:val="00751FE4"/>
    <w:rsid w:val="007528B8"/>
    <w:rsid w:val="007550F5"/>
    <w:rsid w:val="00760B24"/>
    <w:rsid w:val="00760E98"/>
    <w:rsid w:val="00762DB2"/>
    <w:rsid w:val="00763A48"/>
    <w:rsid w:val="00765B32"/>
    <w:rsid w:val="00766F9D"/>
    <w:rsid w:val="0076773B"/>
    <w:rsid w:val="007706A2"/>
    <w:rsid w:val="0077245D"/>
    <w:rsid w:val="00776C62"/>
    <w:rsid w:val="00776F45"/>
    <w:rsid w:val="00777CA9"/>
    <w:rsid w:val="007807C5"/>
    <w:rsid w:val="00781D4F"/>
    <w:rsid w:val="007840D7"/>
    <w:rsid w:val="007901B9"/>
    <w:rsid w:val="007904D5"/>
    <w:rsid w:val="00790CF0"/>
    <w:rsid w:val="007919D1"/>
    <w:rsid w:val="00792687"/>
    <w:rsid w:val="0079292F"/>
    <w:rsid w:val="007937CB"/>
    <w:rsid w:val="00793944"/>
    <w:rsid w:val="00794105"/>
    <w:rsid w:val="0079514D"/>
    <w:rsid w:val="00796077"/>
    <w:rsid w:val="00797D3B"/>
    <w:rsid w:val="00797D3C"/>
    <w:rsid w:val="007A12C1"/>
    <w:rsid w:val="007A1850"/>
    <w:rsid w:val="007A3432"/>
    <w:rsid w:val="007A375A"/>
    <w:rsid w:val="007A7802"/>
    <w:rsid w:val="007A78B7"/>
    <w:rsid w:val="007B056E"/>
    <w:rsid w:val="007B2497"/>
    <w:rsid w:val="007B637F"/>
    <w:rsid w:val="007B63CF"/>
    <w:rsid w:val="007B6C53"/>
    <w:rsid w:val="007C1053"/>
    <w:rsid w:val="007C2263"/>
    <w:rsid w:val="007C30F6"/>
    <w:rsid w:val="007C3CCC"/>
    <w:rsid w:val="007C59E7"/>
    <w:rsid w:val="007C60FD"/>
    <w:rsid w:val="007D0914"/>
    <w:rsid w:val="007D1E28"/>
    <w:rsid w:val="007D281E"/>
    <w:rsid w:val="007D6BF6"/>
    <w:rsid w:val="007E0F0C"/>
    <w:rsid w:val="007E347D"/>
    <w:rsid w:val="007E64C3"/>
    <w:rsid w:val="007F10B2"/>
    <w:rsid w:val="007F2B96"/>
    <w:rsid w:val="007F2CC6"/>
    <w:rsid w:val="007F4A88"/>
    <w:rsid w:val="00801CDB"/>
    <w:rsid w:val="0080256D"/>
    <w:rsid w:val="0080309B"/>
    <w:rsid w:val="00803471"/>
    <w:rsid w:val="0080460D"/>
    <w:rsid w:val="008060AA"/>
    <w:rsid w:val="00807C62"/>
    <w:rsid w:val="00815C8F"/>
    <w:rsid w:val="0081746E"/>
    <w:rsid w:val="00821010"/>
    <w:rsid w:val="008210F6"/>
    <w:rsid w:val="008214DF"/>
    <w:rsid w:val="0082150B"/>
    <w:rsid w:val="008236A1"/>
    <w:rsid w:val="00824174"/>
    <w:rsid w:val="00827B4C"/>
    <w:rsid w:val="00831D93"/>
    <w:rsid w:val="0083271A"/>
    <w:rsid w:val="0083350B"/>
    <w:rsid w:val="00834135"/>
    <w:rsid w:val="00841701"/>
    <w:rsid w:val="008444BA"/>
    <w:rsid w:val="00844B41"/>
    <w:rsid w:val="008474D1"/>
    <w:rsid w:val="00847FCE"/>
    <w:rsid w:val="008513D9"/>
    <w:rsid w:val="00857D2F"/>
    <w:rsid w:val="008600AE"/>
    <w:rsid w:val="008629AB"/>
    <w:rsid w:val="008629CB"/>
    <w:rsid w:val="00864E88"/>
    <w:rsid w:val="00871537"/>
    <w:rsid w:val="00874815"/>
    <w:rsid w:val="00874E0D"/>
    <w:rsid w:val="00875A4D"/>
    <w:rsid w:val="00882965"/>
    <w:rsid w:val="00883921"/>
    <w:rsid w:val="00891515"/>
    <w:rsid w:val="0089432D"/>
    <w:rsid w:val="00896217"/>
    <w:rsid w:val="008A10DF"/>
    <w:rsid w:val="008A38FB"/>
    <w:rsid w:val="008A423B"/>
    <w:rsid w:val="008A52F9"/>
    <w:rsid w:val="008A65B0"/>
    <w:rsid w:val="008B28A6"/>
    <w:rsid w:val="008B2EE1"/>
    <w:rsid w:val="008B305E"/>
    <w:rsid w:val="008B4CEA"/>
    <w:rsid w:val="008B56CE"/>
    <w:rsid w:val="008B662F"/>
    <w:rsid w:val="008B66F7"/>
    <w:rsid w:val="008C112F"/>
    <w:rsid w:val="008C12A0"/>
    <w:rsid w:val="008C1477"/>
    <w:rsid w:val="008C2FA4"/>
    <w:rsid w:val="008C3DE2"/>
    <w:rsid w:val="008C5C37"/>
    <w:rsid w:val="008C5FA5"/>
    <w:rsid w:val="008C6245"/>
    <w:rsid w:val="008D1032"/>
    <w:rsid w:val="008D5C02"/>
    <w:rsid w:val="008D5D0D"/>
    <w:rsid w:val="008D68BE"/>
    <w:rsid w:val="008D6C39"/>
    <w:rsid w:val="008E0AB8"/>
    <w:rsid w:val="008E2614"/>
    <w:rsid w:val="008E5E42"/>
    <w:rsid w:val="008E6687"/>
    <w:rsid w:val="008E6C50"/>
    <w:rsid w:val="008E749D"/>
    <w:rsid w:val="008E770E"/>
    <w:rsid w:val="008F0E49"/>
    <w:rsid w:val="008F1D29"/>
    <w:rsid w:val="008F26EA"/>
    <w:rsid w:val="008F51D7"/>
    <w:rsid w:val="008F52EC"/>
    <w:rsid w:val="008F7280"/>
    <w:rsid w:val="008F7543"/>
    <w:rsid w:val="008F75BC"/>
    <w:rsid w:val="00903A48"/>
    <w:rsid w:val="009046A6"/>
    <w:rsid w:val="00905169"/>
    <w:rsid w:val="00905707"/>
    <w:rsid w:val="009061FE"/>
    <w:rsid w:val="00906A2E"/>
    <w:rsid w:val="00906F10"/>
    <w:rsid w:val="009110BA"/>
    <w:rsid w:val="009114B0"/>
    <w:rsid w:val="00911608"/>
    <w:rsid w:val="00913274"/>
    <w:rsid w:val="00913B8B"/>
    <w:rsid w:val="0091778A"/>
    <w:rsid w:val="009203D0"/>
    <w:rsid w:val="009225A9"/>
    <w:rsid w:val="00923B06"/>
    <w:rsid w:val="00924106"/>
    <w:rsid w:val="0092511F"/>
    <w:rsid w:val="00930612"/>
    <w:rsid w:val="00930A21"/>
    <w:rsid w:val="00931B49"/>
    <w:rsid w:val="009333D5"/>
    <w:rsid w:val="0093401D"/>
    <w:rsid w:val="0093525C"/>
    <w:rsid w:val="00936643"/>
    <w:rsid w:val="00937A5D"/>
    <w:rsid w:val="009426F7"/>
    <w:rsid w:val="00942F36"/>
    <w:rsid w:val="0094612F"/>
    <w:rsid w:val="00946725"/>
    <w:rsid w:val="00947BDA"/>
    <w:rsid w:val="00950807"/>
    <w:rsid w:val="009518C8"/>
    <w:rsid w:val="009528FF"/>
    <w:rsid w:val="0095484E"/>
    <w:rsid w:val="00954B05"/>
    <w:rsid w:val="009556E1"/>
    <w:rsid w:val="009567AD"/>
    <w:rsid w:val="009573D9"/>
    <w:rsid w:val="0096081C"/>
    <w:rsid w:val="009655F1"/>
    <w:rsid w:val="00965BE4"/>
    <w:rsid w:val="00966D76"/>
    <w:rsid w:val="00966E44"/>
    <w:rsid w:val="009700D2"/>
    <w:rsid w:val="00973109"/>
    <w:rsid w:val="00973658"/>
    <w:rsid w:val="00973F3E"/>
    <w:rsid w:val="0097400F"/>
    <w:rsid w:val="0097692E"/>
    <w:rsid w:val="00977992"/>
    <w:rsid w:val="00980448"/>
    <w:rsid w:val="00980F7F"/>
    <w:rsid w:val="00981224"/>
    <w:rsid w:val="00982094"/>
    <w:rsid w:val="0098237A"/>
    <w:rsid w:val="00983E5C"/>
    <w:rsid w:val="00984F47"/>
    <w:rsid w:val="00985194"/>
    <w:rsid w:val="00985FB0"/>
    <w:rsid w:val="0098618A"/>
    <w:rsid w:val="00990377"/>
    <w:rsid w:val="00995279"/>
    <w:rsid w:val="00995AAD"/>
    <w:rsid w:val="009A16D0"/>
    <w:rsid w:val="009A30B7"/>
    <w:rsid w:val="009A6870"/>
    <w:rsid w:val="009A7DEA"/>
    <w:rsid w:val="009B064B"/>
    <w:rsid w:val="009B0ACA"/>
    <w:rsid w:val="009B2586"/>
    <w:rsid w:val="009B3BDC"/>
    <w:rsid w:val="009C113F"/>
    <w:rsid w:val="009C1784"/>
    <w:rsid w:val="009C2654"/>
    <w:rsid w:val="009C57DF"/>
    <w:rsid w:val="009D2044"/>
    <w:rsid w:val="009D3747"/>
    <w:rsid w:val="009D451F"/>
    <w:rsid w:val="009D651B"/>
    <w:rsid w:val="009D6942"/>
    <w:rsid w:val="009D7CE5"/>
    <w:rsid w:val="009E1657"/>
    <w:rsid w:val="009E2612"/>
    <w:rsid w:val="009E28AD"/>
    <w:rsid w:val="009E568D"/>
    <w:rsid w:val="009E5D0A"/>
    <w:rsid w:val="009E7712"/>
    <w:rsid w:val="009F19FD"/>
    <w:rsid w:val="009F1E2A"/>
    <w:rsid w:val="009F2D14"/>
    <w:rsid w:val="009F5744"/>
    <w:rsid w:val="009F6CDA"/>
    <w:rsid w:val="009F6DC2"/>
    <w:rsid w:val="009F7BD4"/>
    <w:rsid w:val="009F7BE6"/>
    <w:rsid w:val="00A00CA5"/>
    <w:rsid w:val="00A0463C"/>
    <w:rsid w:val="00A053E2"/>
    <w:rsid w:val="00A07DF4"/>
    <w:rsid w:val="00A113B5"/>
    <w:rsid w:val="00A12A6E"/>
    <w:rsid w:val="00A2199F"/>
    <w:rsid w:val="00A22727"/>
    <w:rsid w:val="00A22739"/>
    <w:rsid w:val="00A23532"/>
    <w:rsid w:val="00A244CB"/>
    <w:rsid w:val="00A2751C"/>
    <w:rsid w:val="00A3036F"/>
    <w:rsid w:val="00A33711"/>
    <w:rsid w:val="00A3409C"/>
    <w:rsid w:val="00A34994"/>
    <w:rsid w:val="00A35D46"/>
    <w:rsid w:val="00A37C1B"/>
    <w:rsid w:val="00A42593"/>
    <w:rsid w:val="00A43591"/>
    <w:rsid w:val="00A4445A"/>
    <w:rsid w:val="00A4530D"/>
    <w:rsid w:val="00A45DAE"/>
    <w:rsid w:val="00A47665"/>
    <w:rsid w:val="00A51B7A"/>
    <w:rsid w:val="00A53020"/>
    <w:rsid w:val="00A5517B"/>
    <w:rsid w:val="00A56ED8"/>
    <w:rsid w:val="00A5793B"/>
    <w:rsid w:val="00A6167E"/>
    <w:rsid w:val="00A62E55"/>
    <w:rsid w:val="00A63010"/>
    <w:rsid w:val="00A63516"/>
    <w:rsid w:val="00A66518"/>
    <w:rsid w:val="00A6682C"/>
    <w:rsid w:val="00A76097"/>
    <w:rsid w:val="00A80862"/>
    <w:rsid w:val="00A80B84"/>
    <w:rsid w:val="00A82743"/>
    <w:rsid w:val="00A837AE"/>
    <w:rsid w:val="00A850AF"/>
    <w:rsid w:val="00A8514E"/>
    <w:rsid w:val="00A86045"/>
    <w:rsid w:val="00A91655"/>
    <w:rsid w:val="00A91E8C"/>
    <w:rsid w:val="00A9370A"/>
    <w:rsid w:val="00A93885"/>
    <w:rsid w:val="00A94A41"/>
    <w:rsid w:val="00A95AC3"/>
    <w:rsid w:val="00A95D96"/>
    <w:rsid w:val="00A973A4"/>
    <w:rsid w:val="00A9755C"/>
    <w:rsid w:val="00AA263E"/>
    <w:rsid w:val="00AA2EB1"/>
    <w:rsid w:val="00AA41F9"/>
    <w:rsid w:val="00AA4A14"/>
    <w:rsid w:val="00AA6B3F"/>
    <w:rsid w:val="00AB67FA"/>
    <w:rsid w:val="00AB7440"/>
    <w:rsid w:val="00AB7683"/>
    <w:rsid w:val="00AC0CE6"/>
    <w:rsid w:val="00AC15C7"/>
    <w:rsid w:val="00AD0483"/>
    <w:rsid w:val="00AD162D"/>
    <w:rsid w:val="00AD313E"/>
    <w:rsid w:val="00AD3AAF"/>
    <w:rsid w:val="00AD47AB"/>
    <w:rsid w:val="00AE011B"/>
    <w:rsid w:val="00AE2E0D"/>
    <w:rsid w:val="00AE354F"/>
    <w:rsid w:val="00AE3593"/>
    <w:rsid w:val="00AE4F8D"/>
    <w:rsid w:val="00AE50AC"/>
    <w:rsid w:val="00AE5419"/>
    <w:rsid w:val="00AE64E8"/>
    <w:rsid w:val="00AE790E"/>
    <w:rsid w:val="00AF080B"/>
    <w:rsid w:val="00AF18D1"/>
    <w:rsid w:val="00AF3271"/>
    <w:rsid w:val="00AF68DE"/>
    <w:rsid w:val="00AF6D98"/>
    <w:rsid w:val="00B02415"/>
    <w:rsid w:val="00B03493"/>
    <w:rsid w:val="00B05890"/>
    <w:rsid w:val="00B069C5"/>
    <w:rsid w:val="00B06C67"/>
    <w:rsid w:val="00B06F60"/>
    <w:rsid w:val="00B101EE"/>
    <w:rsid w:val="00B111AA"/>
    <w:rsid w:val="00B13E49"/>
    <w:rsid w:val="00B15F08"/>
    <w:rsid w:val="00B15F1E"/>
    <w:rsid w:val="00B2033A"/>
    <w:rsid w:val="00B21988"/>
    <w:rsid w:val="00B21F82"/>
    <w:rsid w:val="00B243D4"/>
    <w:rsid w:val="00B25A7E"/>
    <w:rsid w:val="00B31862"/>
    <w:rsid w:val="00B34D9A"/>
    <w:rsid w:val="00B35B82"/>
    <w:rsid w:val="00B379CA"/>
    <w:rsid w:val="00B40446"/>
    <w:rsid w:val="00B40862"/>
    <w:rsid w:val="00B41082"/>
    <w:rsid w:val="00B42449"/>
    <w:rsid w:val="00B424B1"/>
    <w:rsid w:val="00B468FF"/>
    <w:rsid w:val="00B50D51"/>
    <w:rsid w:val="00B50EDE"/>
    <w:rsid w:val="00B55350"/>
    <w:rsid w:val="00B556C1"/>
    <w:rsid w:val="00B55BC0"/>
    <w:rsid w:val="00B55E4F"/>
    <w:rsid w:val="00B56EB0"/>
    <w:rsid w:val="00B60A57"/>
    <w:rsid w:val="00B616ED"/>
    <w:rsid w:val="00B630A4"/>
    <w:rsid w:val="00B637C2"/>
    <w:rsid w:val="00B63A27"/>
    <w:rsid w:val="00B63A93"/>
    <w:rsid w:val="00B65083"/>
    <w:rsid w:val="00B71203"/>
    <w:rsid w:val="00B71595"/>
    <w:rsid w:val="00B738DA"/>
    <w:rsid w:val="00B73E68"/>
    <w:rsid w:val="00B74EE1"/>
    <w:rsid w:val="00B767A1"/>
    <w:rsid w:val="00B768B2"/>
    <w:rsid w:val="00B80E98"/>
    <w:rsid w:val="00B81884"/>
    <w:rsid w:val="00B825BF"/>
    <w:rsid w:val="00B8387C"/>
    <w:rsid w:val="00B84BB1"/>
    <w:rsid w:val="00B90EA1"/>
    <w:rsid w:val="00B923B7"/>
    <w:rsid w:val="00B93469"/>
    <w:rsid w:val="00B93508"/>
    <w:rsid w:val="00B94D11"/>
    <w:rsid w:val="00BA13E7"/>
    <w:rsid w:val="00BA2242"/>
    <w:rsid w:val="00BA3037"/>
    <w:rsid w:val="00BA4260"/>
    <w:rsid w:val="00BA5EF4"/>
    <w:rsid w:val="00BA62A7"/>
    <w:rsid w:val="00BA6AD6"/>
    <w:rsid w:val="00BB2341"/>
    <w:rsid w:val="00BB2458"/>
    <w:rsid w:val="00BB31E5"/>
    <w:rsid w:val="00BB36EA"/>
    <w:rsid w:val="00BB37CC"/>
    <w:rsid w:val="00BB3FB4"/>
    <w:rsid w:val="00BB468C"/>
    <w:rsid w:val="00BB538D"/>
    <w:rsid w:val="00BB5C62"/>
    <w:rsid w:val="00BB6089"/>
    <w:rsid w:val="00BB6A33"/>
    <w:rsid w:val="00BC116B"/>
    <w:rsid w:val="00BC37D2"/>
    <w:rsid w:val="00BC61C6"/>
    <w:rsid w:val="00BD05F6"/>
    <w:rsid w:val="00BD2294"/>
    <w:rsid w:val="00BD40DD"/>
    <w:rsid w:val="00BD4AD1"/>
    <w:rsid w:val="00BD54F7"/>
    <w:rsid w:val="00BD6C04"/>
    <w:rsid w:val="00BD78D6"/>
    <w:rsid w:val="00BD7F51"/>
    <w:rsid w:val="00BE0712"/>
    <w:rsid w:val="00BE101A"/>
    <w:rsid w:val="00BE1936"/>
    <w:rsid w:val="00BE20A1"/>
    <w:rsid w:val="00BE47F1"/>
    <w:rsid w:val="00BE4DA6"/>
    <w:rsid w:val="00BE5E15"/>
    <w:rsid w:val="00BE63D8"/>
    <w:rsid w:val="00BE6553"/>
    <w:rsid w:val="00BE7DA4"/>
    <w:rsid w:val="00BF09CF"/>
    <w:rsid w:val="00BF1F1B"/>
    <w:rsid w:val="00BF2F03"/>
    <w:rsid w:val="00BF5773"/>
    <w:rsid w:val="00BF5BF7"/>
    <w:rsid w:val="00BF6094"/>
    <w:rsid w:val="00BF6574"/>
    <w:rsid w:val="00BF6607"/>
    <w:rsid w:val="00C00A80"/>
    <w:rsid w:val="00C00CE6"/>
    <w:rsid w:val="00C022D6"/>
    <w:rsid w:val="00C03E65"/>
    <w:rsid w:val="00C04203"/>
    <w:rsid w:val="00C04DE0"/>
    <w:rsid w:val="00C126E5"/>
    <w:rsid w:val="00C13B36"/>
    <w:rsid w:val="00C15A15"/>
    <w:rsid w:val="00C16172"/>
    <w:rsid w:val="00C17D02"/>
    <w:rsid w:val="00C2079E"/>
    <w:rsid w:val="00C20E69"/>
    <w:rsid w:val="00C23099"/>
    <w:rsid w:val="00C24854"/>
    <w:rsid w:val="00C24858"/>
    <w:rsid w:val="00C253FE"/>
    <w:rsid w:val="00C266B5"/>
    <w:rsid w:val="00C2796F"/>
    <w:rsid w:val="00C30585"/>
    <w:rsid w:val="00C3144E"/>
    <w:rsid w:val="00C31D41"/>
    <w:rsid w:val="00C36B2D"/>
    <w:rsid w:val="00C3798C"/>
    <w:rsid w:val="00C43F35"/>
    <w:rsid w:val="00C440D4"/>
    <w:rsid w:val="00C443E6"/>
    <w:rsid w:val="00C4534F"/>
    <w:rsid w:val="00C46936"/>
    <w:rsid w:val="00C503C6"/>
    <w:rsid w:val="00C522EB"/>
    <w:rsid w:val="00C5274C"/>
    <w:rsid w:val="00C5343F"/>
    <w:rsid w:val="00C56080"/>
    <w:rsid w:val="00C5618F"/>
    <w:rsid w:val="00C569FD"/>
    <w:rsid w:val="00C577DF"/>
    <w:rsid w:val="00C605E2"/>
    <w:rsid w:val="00C62160"/>
    <w:rsid w:val="00C6223D"/>
    <w:rsid w:val="00C64721"/>
    <w:rsid w:val="00C64892"/>
    <w:rsid w:val="00C65924"/>
    <w:rsid w:val="00C659B0"/>
    <w:rsid w:val="00C660CB"/>
    <w:rsid w:val="00C70F91"/>
    <w:rsid w:val="00C72204"/>
    <w:rsid w:val="00C740F2"/>
    <w:rsid w:val="00C75374"/>
    <w:rsid w:val="00C7717A"/>
    <w:rsid w:val="00C773DD"/>
    <w:rsid w:val="00C77FFC"/>
    <w:rsid w:val="00C8080E"/>
    <w:rsid w:val="00C80815"/>
    <w:rsid w:val="00C821C6"/>
    <w:rsid w:val="00C82294"/>
    <w:rsid w:val="00C822B3"/>
    <w:rsid w:val="00C857DC"/>
    <w:rsid w:val="00C85B21"/>
    <w:rsid w:val="00C871A0"/>
    <w:rsid w:val="00C87DFA"/>
    <w:rsid w:val="00C92A24"/>
    <w:rsid w:val="00C93A63"/>
    <w:rsid w:val="00C95213"/>
    <w:rsid w:val="00C95DA9"/>
    <w:rsid w:val="00CA255D"/>
    <w:rsid w:val="00CA4A99"/>
    <w:rsid w:val="00CA53EC"/>
    <w:rsid w:val="00CA55FD"/>
    <w:rsid w:val="00CA75B0"/>
    <w:rsid w:val="00CA7BE5"/>
    <w:rsid w:val="00CB0590"/>
    <w:rsid w:val="00CB238B"/>
    <w:rsid w:val="00CB6A6E"/>
    <w:rsid w:val="00CB6CA0"/>
    <w:rsid w:val="00CB6DCB"/>
    <w:rsid w:val="00CB7A8A"/>
    <w:rsid w:val="00CC116F"/>
    <w:rsid w:val="00CC21BC"/>
    <w:rsid w:val="00CC23F3"/>
    <w:rsid w:val="00CC2445"/>
    <w:rsid w:val="00CC3190"/>
    <w:rsid w:val="00CC4517"/>
    <w:rsid w:val="00CC513A"/>
    <w:rsid w:val="00CC7631"/>
    <w:rsid w:val="00CD1A8D"/>
    <w:rsid w:val="00CD21E7"/>
    <w:rsid w:val="00CD3F69"/>
    <w:rsid w:val="00CD3FB2"/>
    <w:rsid w:val="00CD4C63"/>
    <w:rsid w:val="00CD726C"/>
    <w:rsid w:val="00CD74F4"/>
    <w:rsid w:val="00CE16FD"/>
    <w:rsid w:val="00CE71AD"/>
    <w:rsid w:val="00CF3D96"/>
    <w:rsid w:val="00CF6F6A"/>
    <w:rsid w:val="00CF75DA"/>
    <w:rsid w:val="00D00984"/>
    <w:rsid w:val="00D00ABD"/>
    <w:rsid w:val="00D02760"/>
    <w:rsid w:val="00D0415F"/>
    <w:rsid w:val="00D0422B"/>
    <w:rsid w:val="00D05037"/>
    <w:rsid w:val="00D06F50"/>
    <w:rsid w:val="00D07D01"/>
    <w:rsid w:val="00D07EF4"/>
    <w:rsid w:val="00D1075E"/>
    <w:rsid w:val="00D1101F"/>
    <w:rsid w:val="00D12898"/>
    <w:rsid w:val="00D128E6"/>
    <w:rsid w:val="00D1353C"/>
    <w:rsid w:val="00D13599"/>
    <w:rsid w:val="00D14B86"/>
    <w:rsid w:val="00D15C91"/>
    <w:rsid w:val="00D17620"/>
    <w:rsid w:val="00D20593"/>
    <w:rsid w:val="00D219A7"/>
    <w:rsid w:val="00D21DA4"/>
    <w:rsid w:val="00D21EDB"/>
    <w:rsid w:val="00D21F93"/>
    <w:rsid w:val="00D230D5"/>
    <w:rsid w:val="00D24BEF"/>
    <w:rsid w:val="00D30648"/>
    <w:rsid w:val="00D312BD"/>
    <w:rsid w:val="00D31803"/>
    <w:rsid w:val="00D33E4D"/>
    <w:rsid w:val="00D33F07"/>
    <w:rsid w:val="00D34FAD"/>
    <w:rsid w:val="00D35800"/>
    <w:rsid w:val="00D37417"/>
    <w:rsid w:val="00D4303B"/>
    <w:rsid w:val="00D43904"/>
    <w:rsid w:val="00D4401D"/>
    <w:rsid w:val="00D46913"/>
    <w:rsid w:val="00D4751B"/>
    <w:rsid w:val="00D51160"/>
    <w:rsid w:val="00D53242"/>
    <w:rsid w:val="00D53E10"/>
    <w:rsid w:val="00D5401E"/>
    <w:rsid w:val="00D5405C"/>
    <w:rsid w:val="00D60E36"/>
    <w:rsid w:val="00D63C1E"/>
    <w:rsid w:val="00D651B0"/>
    <w:rsid w:val="00D67EF6"/>
    <w:rsid w:val="00D7041B"/>
    <w:rsid w:val="00D70EFE"/>
    <w:rsid w:val="00D71AED"/>
    <w:rsid w:val="00D71CD0"/>
    <w:rsid w:val="00D71D65"/>
    <w:rsid w:val="00D720B1"/>
    <w:rsid w:val="00D73320"/>
    <w:rsid w:val="00D76FE7"/>
    <w:rsid w:val="00D818E5"/>
    <w:rsid w:val="00D82326"/>
    <w:rsid w:val="00D8257A"/>
    <w:rsid w:val="00D8267F"/>
    <w:rsid w:val="00D85671"/>
    <w:rsid w:val="00D8671D"/>
    <w:rsid w:val="00D867DD"/>
    <w:rsid w:val="00D874C4"/>
    <w:rsid w:val="00D87531"/>
    <w:rsid w:val="00D92CF7"/>
    <w:rsid w:val="00D9458C"/>
    <w:rsid w:val="00D9476E"/>
    <w:rsid w:val="00D96CAE"/>
    <w:rsid w:val="00DA0B26"/>
    <w:rsid w:val="00DA0D2D"/>
    <w:rsid w:val="00DA29E2"/>
    <w:rsid w:val="00DA509F"/>
    <w:rsid w:val="00DA69B9"/>
    <w:rsid w:val="00DB1594"/>
    <w:rsid w:val="00DB182D"/>
    <w:rsid w:val="00DB1941"/>
    <w:rsid w:val="00DB21C9"/>
    <w:rsid w:val="00DB277C"/>
    <w:rsid w:val="00DB3163"/>
    <w:rsid w:val="00DB567D"/>
    <w:rsid w:val="00DB5833"/>
    <w:rsid w:val="00DB59C8"/>
    <w:rsid w:val="00DB79CB"/>
    <w:rsid w:val="00DC0D79"/>
    <w:rsid w:val="00DC1065"/>
    <w:rsid w:val="00DC2195"/>
    <w:rsid w:val="00DC3CF1"/>
    <w:rsid w:val="00DC4A5E"/>
    <w:rsid w:val="00DC51BD"/>
    <w:rsid w:val="00DC5773"/>
    <w:rsid w:val="00DC7C54"/>
    <w:rsid w:val="00DD0499"/>
    <w:rsid w:val="00DD0EB6"/>
    <w:rsid w:val="00DD23FF"/>
    <w:rsid w:val="00DD388F"/>
    <w:rsid w:val="00DD3D23"/>
    <w:rsid w:val="00DD5081"/>
    <w:rsid w:val="00DD53AC"/>
    <w:rsid w:val="00DD58A5"/>
    <w:rsid w:val="00DD6023"/>
    <w:rsid w:val="00DD6CF5"/>
    <w:rsid w:val="00DE02A3"/>
    <w:rsid w:val="00DE340E"/>
    <w:rsid w:val="00DE4067"/>
    <w:rsid w:val="00DE4594"/>
    <w:rsid w:val="00DE54CF"/>
    <w:rsid w:val="00DF063B"/>
    <w:rsid w:val="00DF0B8D"/>
    <w:rsid w:val="00DF23E1"/>
    <w:rsid w:val="00DF2973"/>
    <w:rsid w:val="00DF69DC"/>
    <w:rsid w:val="00E00E6A"/>
    <w:rsid w:val="00E04667"/>
    <w:rsid w:val="00E04889"/>
    <w:rsid w:val="00E04DCD"/>
    <w:rsid w:val="00E05687"/>
    <w:rsid w:val="00E07205"/>
    <w:rsid w:val="00E07495"/>
    <w:rsid w:val="00E078EB"/>
    <w:rsid w:val="00E117F6"/>
    <w:rsid w:val="00E1196B"/>
    <w:rsid w:val="00E11F9E"/>
    <w:rsid w:val="00E16196"/>
    <w:rsid w:val="00E164FD"/>
    <w:rsid w:val="00E16BCB"/>
    <w:rsid w:val="00E2083D"/>
    <w:rsid w:val="00E20B1F"/>
    <w:rsid w:val="00E21BC8"/>
    <w:rsid w:val="00E23AD6"/>
    <w:rsid w:val="00E2631D"/>
    <w:rsid w:val="00E266EE"/>
    <w:rsid w:val="00E27BC9"/>
    <w:rsid w:val="00E31E0D"/>
    <w:rsid w:val="00E31ED7"/>
    <w:rsid w:val="00E33334"/>
    <w:rsid w:val="00E36034"/>
    <w:rsid w:val="00E37121"/>
    <w:rsid w:val="00E37FDF"/>
    <w:rsid w:val="00E40D9D"/>
    <w:rsid w:val="00E41B32"/>
    <w:rsid w:val="00E4223C"/>
    <w:rsid w:val="00E4299D"/>
    <w:rsid w:val="00E42CBF"/>
    <w:rsid w:val="00E45520"/>
    <w:rsid w:val="00E465CC"/>
    <w:rsid w:val="00E47C83"/>
    <w:rsid w:val="00E506D0"/>
    <w:rsid w:val="00E54B1A"/>
    <w:rsid w:val="00E56EAF"/>
    <w:rsid w:val="00E57007"/>
    <w:rsid w:val="00E57385"/>
    <w:rsid w:val="00E60598"/>
    <w:rsid w:val="00E62330"/>
    <w:rsid w:val="00E62538"/>
    <w:rsid w:val="00E64952"/>
    <w:rsid w:val="00E66473"/>
    <w:rsid w:val="00E6660C"/>
    <w:rsid w:val="00E675E6"/>
    <w:rsid w:val="00E7060F"/>
    <w:rsid w:val="00E70A0A"/>
    <w:rsid w:val="00E72B98"/>
    <w:rsid w:val="00E73C7E"/>
    <w:rsid w:val="00E746B7"/>
    <w:rsid w:val="00E748B4"/>
    <w:rsid w:val="00E75626"/>
    <w:rsid w:val="00E76FED"/>
    <w:rsid w:val="00E810A3"/>
    <w:rsid w:val="00E811C3"/>
    <w:rsid w:val="00E81BBD"/>
    <w:rsid w:val="00E82F26"/>
    <w:rsid w:val="00E85F26"/>
    <w:rsid w:val="00E87EFF"/>
    <w:rsid w:val="00E90350"/>
    <w:rsid w:val="00E90F75"/>
    <w:rsid w:val="00E92FD2"/>
    <w:rsid w:val="00E932B5"/>
    <w:rsid w:val="00E93799"/>
    <w:rsid w:val="00E9455D"/>
    <w:rsid w:val="00E945E7"/>
    <w:rsid w:val="00E946EB"/>
    <w:rsid w:val="00E94A40"/>
    <w:rsid w:val="00E94E68"/>
    <w:rsid w:val="00EA0400"/>
    <w:rsid w:val="00EA0A6E"/>
    <w:rsid w:val="00EA20A9"/>
    <w:rsid w:val="00EA262F"/>
    <w:rsid w:val="00EA2D7C"/>
    <w:rsid w:val="00EA4214"/>
    <w:rsid w:val="00EA4918"/>
    <w:rsid w:val="00EA4B68"/>
    <w:rsid w:val="00EA6D65"/>
    <w:rsid w:val="00EA7A70"/>
    <w:rsid w:val="00EA7D15"/>
    <w:rsid w:val="00EB1400"/>
    <w:rsid w:val="00EB1A48"/>
    <w:rsid w:val="00EB2F49"/>
    <w:rsid w:val="00EB3395"/>
    <w:rsid w:val="00EC21BB"/>
    <w:rsid w:val="00EC40C7"/>
    <w:rsid w:val="00EC5CC2"/>
    <w:rsid w:val="00EC62F8"/>
    <w:rsid w:val="00EC70B2"/>
    <w:rsid w:val="00EC7243"/>
    <w:rsid w:val="00ED0C2D"/>
    <w:rsid w:val="00ED1C26"/>
    <w:rsid w:val="00ED2EE7"/>
    <w:rsid w:val="00ED410E"/>
    <w:rsid w:val="00ED4887"/>
    <w:rsid w:val="00ED7805"/>
    <w:rsid w:val="00ED7D94"/>
    <w:rsid w:val="00EE33AF"/>
    <w:rsid w:val="00EF18C0"/>
    <w:rsid w:val="00EF2791"/>
    <w:rsid w:val="00EF27A1"/>
    <w:rsid w:val="00EF3E62"/>
    <w:rsid w:val="00EF5627"/>
    <w:rsid w:val="00EF59B8"/>
    <w:rsid w:val="00F01053"/>
    <w:rsid w:val="00F01104"/>
    <w:rsid w:val="00F046D1"/>
    <w:rsid w:val="00F04E72"/>
    <w:rsid w:val="00F0591B"/>
    <w:rsid w:val="00F10E29"/>
    <w:rsid w:val="00F1195B"/>
    <w:rsid w:val="00F119B1"/>
    <w:rsid w:val="00F162E0"/>
    <w:rsid w:val="00F2046D"/>
    <w:rsid w:val="00F212FF"/>
    <w:rsid w:val="00F2149E"/>
    <w:rsid w:val="00F21E37"/>
    <w:rsid w:val="00F21FB7"/>
    <w:rsid w:val="00F255ED"/>
    <w:rsid w:val="00F32269"/>
    <w:rsid w:val="00F33C53"/>
    <w:rsid w:val="00F33DC2"/>
    <w:rsid w:val="00F3692B"/>
    <w:rsid w:val="00F36A69"/>
    <w:rsid w:val="00F37DB7"/>
    <w:rsid w:val="00F4073C"/>
    <w:rsid w:val="00F41318"/>
    <w:rsid w:val="00F416EB"/>
    <w:rsid w:val="00F4307A"/>
    <w:rsid w:val="00F44D43"/>
    <w:rsid w:val="00F47115"/>
    <w:rsid w:val="00F473EA"/>
    <w:rsid w:val="00F53E73"/>
    <w:rsid w:val="00F557D7"/>
    <w:rsid w:val="00F571D2"/>
    <w:rsid w:val="00F57226"/>
    <w:rsid w:val="00F57AC5"/>
    <w:rsid w:val="00F63B10"/>
    <w:rsid w:val="00F64AC7"/>
    <w:rsid w:val="00F65092"/>
    <w:rsid w:val="00F678FE"/>
    <w:rsid w:val="00F7277E"/>
    <w:rsid w:val="00F75CDA"/>
    <w:rsid w:val="00F817B1"/>
    <w:rsid w:val="00F82047"/>
    <w:rsid w:val="00F82120"/>
    <w:rsid w:val="00F827EE"/>
    <w:rsid w:val="00F84657"/>
    <w:rsid w:val="00F86BCF"/>
    <w:rsid w:val="00F86F29"/>
    <w:rsid w:val="00F90F38"/>
    <w:rsid w:val="00F92253"/>
    <w:rsid w:val="00F93DA7"/>
    <w:rsid w:val="00F93F6B"/>
    <w:rsid w:val="00F94628"/>
    <w:rsid w:val="00F9530C"/>
    <w:rsid w:val="00F968EA"/>
    <w:rsid w:val="00FA24DF"/>
    <w:rsid w:val="00FA28D8"/>
    <w:rsid w:val="00FA3782"/>
    <w:rsid w:val="00FA4605"/>
    <w:rsid w:val="00FA4AD6"/>
    <w:rsid w:val="00FA52EF"/>
    <w:rsid w:val="00FA6597"/>
    <w:rsid w:val="00FA66DC"/>
    <w:rsid w:val="00FA7A5C"/>
    <w:rsid w:val="00FB55BD"/>
    <w:rsid w:val="00FB64BC"/>
    <w:rsid w:val="00FC05EF"/>
    <w:rsid w:val="00FC16B8"/>
    <w:rsid w:val="00FC40F4"/>
    <w:rsid w:val="00FC48B9"/>
    <w:rsid w:val="00FC560C"/>
    <w:rsid w:val="00FD0B04"/>
    <w:rsid w:val="00FD2112"/>
    <w:rsid w:val="00FD2D50"/>
    <w:rsid w:val="00FD3C6C"/>
    <w:rsid w:val="00FD55AB"/>
    <w:rsid w:val="00FD5DF2"/>
    <w:rsid w:val="00FD6C40"/>
    <w:rsid w:val="00FD6D79"/>
    <w:rsid w:val="00FD6D93"/>
    <w:rsid w:val="00FD6EE4"/>
    <w:rsid w:val="00FD6FEE"/>
    <w:rsid w:val="00FE13AF"/>
    <w:rsid w:val="00FE21E8"/>
    <w:rsid w:val="00FE4B82"/>
    <w:rsid w:val="00FE5B3C"/>
    <w:rsid w:val="00FE7D04"/>
    <w:rsid w:val="00FF2E29"/>
    <w:rsid w:val="00FF34AD"/>
    <w:rsid w:val="00FF4209"/>
    <w:rsid w:val="00FF44DB"/>
    <w:rsid w:val="00FF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fillcolor="none [2409]" strokecolor="none [3212]">
      <v:fill color="none [2409]"/>
      <v:stroke color="none [3212]" weight="0"/>
      <o:colormenu v:ext="edit" fillcolor="none [1302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325"/>
    <w:pPr>
      <w:spacing w:line="240" w:lineRule="auto"/>
      <w:ind w:left="851"/>
    </w:pPr>
  </w:style>
  <w:style w:type="paragraph" w:styleId="Heading1">
    <w:name w:val="heading 1"/>
    <w:basedOn w:val="Normal"/>
    <w:next w:val="Normal"/>
    <w:link w:val="Heading1Char"/>
    <w:uiPriority w:val="9"/>
    <w:qFormat/>
    <w:rsid w:val="00BB36EA"/>
    <w:pPr>
      <w:keepNext/>
      <w:keepLines/>
      <w:numPr>
        <w:numId w:val="1"/>
      </w:numPr>
      <w:spacing w:before="480" w:after="120"/>
      <w:ind w:left="851" w:hanging="85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A5325"/>
    <w:pPr>
      <w:numPr>
        <w:ilvl w:val="1"/>
      </w:numPr>
      <w:spacing w:before="200"/>
      <w:ind w:left="851" w:hanging="851"/>
      <w:outlineLvl w:val="1"/>
    </w:pPr>
    <w:rPr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A5325"/>
    <w:pPr>
      <w:numPr>
        <w:ilvl w:val="2"/>
      </w:numPr>
      <w:ind w:left="851" w:hanging="851"/>
      <w:outlineLvl w:val="2"/>
    </w:pPr>
    <w:rPr>
      <w:b w:val="0"/>
      <w:bCs/>
      <w:sz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6A5325"/>
    <w:pPr>
      <w:numPr>
        <w:ilvl w:val="3"/>
      </w:numPr>
      <w:ind w:left="851" w:hanging="851"/>
      <w:outlineLvl w:val="3"/>
    </w:pPr>
    <w:rPr>
      <w:bCs w:val="0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C70B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70B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70B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70B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70B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6EA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5325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A5325"/>
    <w:rPr>
      <w:rFonts w:asciiTheme="majorHAnsi" w:eastAsiaTheme="majorEastAsia" w:hAnsiTheme="majorHAnsi" w:cstheme="majorBidi"/>
      <w:bCs/>
      <w:color w:val="4F81BD" w:themeColor="accent1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A5325"/>
    <w:rPr>
      <w:rFonts w:asciiTheme="majorHAnsi" w:eastAsiaTheme="majorEastAsia" w:hAnsiTheme="majorHAnsi" w:cstheme="majorBidi"/>
      <w:i/>
      <w:iCs/>
      <w:color w:val="4F81BD" w:themeColor="accent1"/>
      <w:sz w:val="24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EC70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70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70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70B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70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F3E62"/>
    <w:pPr>
      <w:ind w:left="0" w:firstLine="851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F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06F50"/>
  </w:style>
  <w:style w:type="paragraph" w:styleId="Footer">
    <w:name w:val="footer"/>
    <w:basedOn w:val="Normal"/>
    <w:link w:val="FooterChar"/>
    <w:uiPriority w:val="99"/>
    <w:unhideWhenUsed/>
    <w:rsid w:val="00D06F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06F50"/>
  </w:style>
  <w:style w:type="paragraph" w:styleId="BalloonText">
    <w:name w:val="Balloon Text"/>
    <w:basedOn w:val="Normal"/>
    <w:link w:val="BalloonTextChar"/>
    <w:uiPriority w:val="99"/>
    <w:semiHidden/>
    <w:unhideWhenUsed/>
    <w:rsid w:val="00D06F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F50"/>
    <w:rPr>
      <w:rFonts w:ascii="Tahoma" w:hAnsi="Tahoma" w:cs="Tahoma"/>
      <w:sz w:val="16"/>
      <w:szCs w:val="16"/>
    </w:rPr>
  </w:style>
  <w:style w:type="paragraph" w:customStyle="1" w:styleId="FrontTitle1">
    <w:name w:val="Front Title 1"/>
    <w:basedOn w:val="Normal"/>
    <w:qFormat/>
    <w:rsid w:val="00453E15"/>
    <w:pPr>
      <w:pBdr>
        <w:top w:val="single" w:sz="8" w:space="12" w:color="1F497D" w:themeColor="text2"/>
        <w:bottom w:val="single" w:sz="8" w:space="12" w:color="1F497D" w:themeColor="text2"/>
      </w:pBdr>
      <w:spacing w:after="0"/>
      <w:ind w:left="0"/>
      <w:jc w:val="center"/>
    </w:pPr>
    <w:rPr>
      <w:rFonts w:asciiTheme="majorHAnsi" w:hAnsiTheme="majorHAnsi"/>
      <w:b/>
      <w:color w:val="17365D" w:themeColor="text2" w:themeShade="BF"/>
      <w:sz w:val="52"/>
    </w:rPr>
  </w:style>
  <w:style w:type="paragraph" w:customStyle="1" w:styleId="FrontTitle2">
    <w:name w:val="Front Title 2"/>
    <w:basedOn w:val="FrontTitle1"/>
    <w:qFormat/>
    <w:rsid w:val="00453E15"/>
    <w:pPr>
      <w:pBdr>
        <w:top w:val="none" w:sz="0" w:space="0" w:color="auto"/>
        <w:bottom w:val="none" w:sz="0" w:space="0" w:color="auto"/>
      </w:pBdr>
    </w:pPr>
    <w:rPr>
      <w:color w:val="365F91" w:themeColor="accent1" w:themeShade="BF"/>
      <w:sz w:val="36"/>
    </w:rPr>
  </w:style>
  <w:style w:type="table" w:styleId="TableGrid">
    <w:name w:val="Table Grid"/>
    <w:basedOn w:val="TableNormal"/>
    <w:uiPriority w:val="59"/>
    <w:rsid w:val="001C70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0025E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025E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0025EE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6F4E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6F4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06F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263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26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26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827EE"/>
    <w:rPr>
      <w:color w:val="0000FF" w:themeColor="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7901B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901B9"/>
    <w:rPr>
      <w:i/>
      <w:iCs/>
      <w:color w:val="000000" w:themeColor="tex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6C7F"/>
    <w:pPr>
      <w:numPr>
        <w:numId w:val="0"/>
      </w:numPr>
      <w:spacing w:after="0" w:line="276" w:lineRule="auto"/>
      <w:outlineLvl w:val="9"/>
    </w:pPr>
    <w:rPr>
      <w:sz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B6C7F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5B6C7F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B6C7F"/>
    <w:pPr>
      <w:spacing w:after="100"/>
      <w:ind w:left="440"/>
    </w:pPr>
  </w:style>
  <w:style w:type="paragraph" w:customStyle="1" w:styleId="HeadingA1">
    <w:name w:val="Heading A1"/>
    <w:basedOn w:val="Heading1"/>
    <w:next w:val="Normal"/>
    <w:qFormat/>
    <w:rsid w:val="00C87DFA"/>
    <w:pPr>
      <w:numPr>
        <w:numId w:val="2"/>
      </w:numPr>
      <w:ind w:left="851" w:hanging="851"/>
    </w:pPr>
  </w:style>
  <w:style w:type="character" w:styleId="SubtleEmphasis">
    <w:name w:val="Subtle Emphasis"/>
    <w:basedOn w:val="DefaultParagraphFont"/>
    <w:uiPriority w:val="19"/>
    <w:qFormat/>
    <w:rsid w:val="00DE4594"/>
    <w:rPr>
      <w:i/>
      <w:iCs/>
      <w:color w:val="808080" w:themeColor="text1" w:themeTint="7F"/>
    </w:rPr>
  </w:style>
  <w:style w:type="paragraph" w:customStyle="1" w:styleId="HeadingA2">
    <w:name w:val="Heading A2"/>
    <w:basedOn w:val="Heading2"/>
    <w:qFormat/>
    <w:rsid w:val="006C13D3"/>
    <w:pPr>
      <w:numPr>
        <w:ilvl w:val="0"/>
        <w:numId w:val="0"/>
      </w:numPr>
      <w:ind w:firstLine="851"/>
    </w:pPr>
  </w:style>
  <w:style w:type="paragraph" w:styleId="TOC4">
    <w:name w:val="toc 4"/>
    <w:basedOn w:val="Normal"/>
    <w:next w:val="Normal"/>
    <w:autoRedefine/>
    <w:uiPriority w:val="39"/>
    <w:unhideWhenUsed/>
    <w:rsid w:val="00640E5C"/>
    <w:pPr>
      <w:spacing w:after="100" w:line="276" w:lineRule="auto"/>
      <w:ind w:left="660"/>
    </w:pPr>
    <w:rPr>
      <w:rFonts w:eastAsiaTheme="minorEastAsia"/>
      <w:lang w:eastAsia="en-AU"/>
    </w:rPr>
  </w:style>
  <w:style w:type="paragraph" w:styleId="TOC5">
    <w:name w:val="toc 5"/>
    <w:basedOn w:val="Normal"/>
    <w:next w:val="Normal"/>
    <w:autoRedefine/>
    <w:uiPriority w:val="39"/>
    <w:unhideWhenUsed/>
    <w:rsid w:val="00640E5C"/>
    <w:pPr>
      <w:spacing w:after="100" w:line="276" w:lineRule="auto"/>
      <w:ind w:left="880"/>
    </w:pPr>
    <w:rPr>
      <w:rFonts w:eastAsiaTheme="minorEastAsia"/>
      <w:lang w:eastAsia="en-AU"/>
    </w:rPr>
  </w:style>
  <w:style w:type="paragraph" w:styleId="TOC6">
    <w:name w:val="toc 6"/>
    <w:basedOn w:val="Normal"/>
    <w:next w:val="Normal"/>
    <w:autoRedefine/>
    <w:uiPriority w:val="39"/>
    <w:unhideWhenUsed/>
    <w:rsid w:val="00640E5C"/>
    <w:pPr>
      <w:spacing w:after="100" w:line="276" w:lineRule="auto"/>
      <w:ind w:left="1100"/>
    </w:pPr>
    <w:rPr>
      <w:rFonts w:eastAsiaTheme="minorEastAsia"/>
      <w:lang w:eastAsia="en-AU"/>
    </w:rPr>
  </w:style>
  <w:style w:type="paragraph" w:styleId="TOC7">
    <w:name w:val="toc 7"/>
    <w:basedOn w:val="Normal"/>
    <w:next w:val="Normal"/>
    <w:autoRedefine/>
    <w:uiPriority w:val="39"/>
    <w:unhideWhenUsed/>
    <w:rsid w:val="00640E5C"/>
    <w:pPr>
      <w:spacing w:after="100" w:line="276" w:lineRule="auto"/>
      <w:ind w:left="1320"/>
    </w:pPr>
    <w:rPr>
      <w:rFonts w:eastAsiaTheme="minorEastAsia"/>
      <w:lang w:eastAsia="en-AU"/>
    </w:rPr>
  </w:style>
  <w:style w:type="paragraph" w:styleId="TOC8">
    <w:name w:val="toc 8"/>
    <w:basedOn w:val="Normal"/>
    <w:next w:val="Normal"/>
    <w:autoRedefine/>
    <w:uiPriority w:val="39"/>
    <w:unhideWhenUsed/>
    <w:rsid w:val="00640E5C"/>
    <w:pPr>
      <w:spacing w:after="100" w:line="276" w:lineRule="auto"/>
      <w:ind w:left="1540"/>
    </w:pPr>
    <w:rPr>
      <w:rFonts w:eastAsiaTheme="minorEastAsia"/>
      <w:lang w:eastAsia="en-AU"/>
    </w:rPr>
  </w:style>
  <w:style w:type="paragraph" w:styleId="TOC9">
    <w:name w:val="toc 9"/>
    <w:basedOn w:val="Normal"/>
    <w:next w:val="Normal"/>
    <w:autoRedefine/>
    <w:uiPriority w:val="39"/>
    <w:unhideWhenUsed/>
    <w:rsid w:val="00640E5C"/>
    <w:pPr>
      <w:spacing w:after="100" w:line="276" w:lineRule="auto"/>
      <w:ind w:left="1760"/>
    </w:pPr>
    <w:rPr>
      <w:rFonts w:eastAsiaTheme="minorEastAsia"/>
      <w:lang w:eastAsia="en-AU"/>
    </w:rPr>
  </w:style>
  <w:style w:type="paragraph" w:styleId="Revision">
    <w:name w:val="Revision"/>
    <w:hidden/>
    <w:uiPriority w:val="99"/>
    <w:semiHidden/>
    <w:rsid w:val="00116F2B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665F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49246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689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2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A1BE0-7E7C-478C-B133-D1E5AF74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1997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</Company>
  <LinksUpToDate>false</LinksUpToDate>
  <CharactersWithSpaces>13354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Croger</dc:creator>
  <cp:lastModifiedBy>Peter Croger</cp:lastModifiedBy>
  <cp:revision>2</cp:revision>
  <cp:lastPrinted>2011-02-17T04:18:00Z</cp:lastPrinted>
  <dcterms:created xsi:type="dcterms:W3CDTF">2011-02-24T08:55:00Z</dcterms:created>
  <dcterms:modified xsi:type="dcterms:W3CDTF">2011-02-24T08:55:00Z</dcterms:modified>
</cp:coreProperties>
</file>